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E84A" w14:textId="1C1719E8" w:rsidR="00566F16" w:rsidRDefault="00566F16" w:rsidP="00566F16">
      <w:pPr>
        <w:tabs>
          <w:tab w:val="center" w:pos="4680"/>
        </w:tabs>
        <w:jc w:val="center"/>
      </w:pPr>
    </w:p>
    <w:p w14:paraId="4E1932BA" w14:textId="60F637AE" w:rsidR="00566F16" w:rsidRPr="00611CD6" w:rsidRDefault="00566F16" w:rsidP="00566F16">
      <w:pPr>
        <w:tabs>
          <w:tab w:val="center" w:pos="4680"/>
        </w:tabs>
        <w:jc w:val="center"/>
        <w:rPr>
          <w:b/>
          <w:sz w:val="44"/>
          <w:szCs w:val="44"/>
        </w:rPr>
      </w:pPr>
      <w:r w:rsidRPr="00611CD6">
        <w:rPr>
          <w:b/>
          <w:sz w:val="44"/>
          <w:szCs w:val="44"/>
        </w:rPr>
        <w:t>Preliminary Application</w:t>
      </w:r>
      <w:r w:rsidR="00C1694E">
        <w:rPr>
          <w:b/>
          <w:sz w:val="44"/>
          <w:szCs w:val="44"/>
        </w:rPr>
        <w:t xml:space="preserve"> Instructions</w:t>
      </w:r>
    </w:p>
    <w:p w14:paraId="37BBED3A" w14:textId="77777777" w:rsidR="00566F16" w:rsidRPr="00611CD6" w:rsidRDefault="00566F16" w:rsidP="00566F16">
      <w:pPr>
        <w:tabs>
          <w:tab w:val="center" w:pos="4680"/>
        </w:tabs>
        <w:jc w:val="center"/>
        <w:rPr>
          <w:b/>
          <w:sz w:val="36"/>
        </w:rPr>
      </w:pPr>
      <w:r w:rsidRPr="00611CD6">
        <w:rPr>
          <w:b/>
          <w:sz w:val="36"/>
        </w:rPr>
        <w:t>The FY 20</w:t>
      </w:r>
      <w:r>
        <w:rPr>
          <w:b/>
          <w:sz w:val="36"/>
        </w:rPr>
        <w:t>27</w:t>
      </w:r>
      <w:r w:rsidRPr="00611CD6">
        <w:rPr>
          <w:b/>
          <w:sz w:val="36"/>
        </w:rPr>
        <w:t xml:space="preserve"> GOAL Program</w:t>
      </w:r>
    </w:p>
    <w:p w14:paraId="3F8893E0" w14:textId="12276894" w:rsidR="00566F16" w:rsidRDefault="00566F16" w:rsidP="00566F16">
      <w:pPr>
        <w:tabs>
          <w:tab w:val="center" w:pos="4680"/>
        </w:tabs>
        <w:jc w:val="center"/>
        <w:rPr>
          <w:b/>
          <w:sz w:val="28"/>
          <w:szCs w:val="28"/>
        </w:rPr>
      </w:pPr>
      <w:r>
        <w:rPr>
          <w:b/>
          <w:sz w:val="28"/>
          <w:szCs w:val="28"/>
        </w:rPr>
        <w:fldChar w:fldCharType="begin"/>
      </w:r>
      <w:r>
        <w:rPr>
          <w:b/>
          <w:sz w:val="28"/>
          <w:szCs w:val="28"/>
        </w:rPr>
        <w:instrText xml:space="preserve"> DATE \@ "MMMM d, yyyy" </w:instrText>
      </w:r>
      <w:r>
        <w:rPr>
          <w:b/>
          <w:sz w:val="28"/>
          <w:szCs w:val="28"/>
        </w:rPr>
        <w:fldChar w:fldCharType="separate"/>
      </w:r>
      <w:r w:rsidR="00B306D2">
        <w:rPr>
          <w:b/>
          <w:noProof/>
          <w:sz w:val="28"/>
          <w:szCs w:val="28"/>
        </w:rPr>
        <w:t>June 29, 2026</w:t>
      </w:r>
      <w:r>
        <w:rPr>
          <w:b/>
          <w:sz w:val="28"/>
          <w:szCs w:val="28"/>
        </w:rPr>
        <w:fldChar w:fldCharType="end"/>
      </w:r>
    </w:p>
    <w:p w14:paraId="759DCEFD" w14:textId="77777777" w:rsidR="00566F16" w:rsidRPr="00611CD6" w:rsidRDefault="00566F16" w:rsidP="00566F16">
      <w:pPr>
        <w:tabs>
          <w:tab w:val="center" w:pos="4680"/>
        </w:tabs>
        <w:jc w:val="center"/>
        <w:rPr>
          <w:b/>
          <w:sz w:val="28"/>
          <w:szCs w:val="28"/>
        </w:rPr>
      </w:pPr>
    </w:p>
    <w:p w14:paraId="421ABF37" w14:textId="77777777" w:rsidR="00566F16" w:rsidRPr="00611CD6" w:rsidRDefault="00566F16" w:rsidP="00566F16">
      <w:pPr>
        <w:tabs>
          <w:tab w:val="center" w:pos="4680"/>
        </w:tabs>
        <w:jc w:val="center"/>
        <w:rPr>
          <w:smallCaps/>
          <w:sz w:val="36"/>
          <w:szCs w:val="36"/>
        </w:rPr>
      </w:pPr>
      <w:r w:rsidRPr="00611CD6">
        <w:rPr>
          <w:smallCaps/>
          <w:sz w:val="36"/>
          <w:szCs w:val="36"/>
        </w:rPr>
        <w:t>Greater Opportunities for Affordable Living</w:t>
      </w:r>
    </w:p>
    <w:p w14:paraId="17266BD6" w14:textId="77777777" w:rsidR="00566F16" w:rsidRPr="00DF4CC8" w:rsidRDefault="00566F16" w:rsidP="00566F16">
      <w:pPr>
        <w:tabs>
          <w:tab w:val="center" w:pos="4680"/>
        </w:tabs>
        <w:jc w:val="center"/>
        <w:rPr>
          <w:sz w:val="28"/>
          <w:szCs w:val="32"/>
        </w:rPr>
      </w:pPr>
      <w:r w:rsidRPr="00DF4CC8">
        <w:rPr>
          <w:sz w:val="28"/>
          <w:szCs w:val="32"/>
        </w:rPr>
        <w:t>Funding Available Under</w:t>
      </w:r>
    </w:p>
    <w:p w14:paraId="3803B5D4" w14:textId="77777777" w:rsidR="00566F16" w:rsidRPr="00DF4CC8" w:rsidRDefault="00566F16" w:rsidP="00566F16">
      <w:pPr>
        <w:tabs>
          <w:tab w:val="center" w:pos="4680"/>
        </w:tabs>
        <w:jc w:val="center"/>
        <w:rPr>
          <w:sz w:val="32"/>
        </w:rPr>
      </w:pPr>
      <w:r w:rsidRPr="00DF4CC8">
        <w:rPr>
          <w:sz w:val="32"/>
        </w:rPr>
        <w:t>HOME Investment Partnerships Program</w:t>
      </w:r>
    </w:p>
    <w:p w14:paraId="01634BA1" w14:textId="77777777" w:rsidR="00566F16" w:rsidRPr="00DF4CC8" w:rsidRDefault="00566F16" w:rsidP="00566F16">
      <w:pPr>
        <w:tabs>
          <w:tab w:val="center" w:pos="4680"/>
        </w:tabs>
        <w:jc w:val="center"/>
        <w:rPr>
          <w:sz w:val="32"/>
        </w:rPr>
      </w:pPr>
      <w:r w:rsidRPr="00DF4CC8">
        <w:rPr>
          <w:sz w:val="32"/>
        </w:rPr>
        <w:t>National Housing Trust Fund*</w:t>
      </w:r>
    </w:p>
    <w:p w14:paraId="59590926" w14:textId="77777777" w:rsidR="00566F16" w:rsidRDefault="00566F16" w:rsidP="00566F16">
      <w:pPr>
        <w:tabs>
          <w:tab w:val="center" w:pos="4680"/>
        </w:tabs>
        <w:jc w:val="center"/>
        <w:rPr>
          <w:sz w:val="32"/>
        </w:rPr>
      </w:pPr>
      <w:r w:rsidRPr="00DF4CC8">
        <w:rPr>
          <w:sz w:val="32"/>
        </w:rPr>
        <w:t>Senior Citizens Housing Development Fund*</w:t>
      </w:r>
    </w:p>
    <w:p w14:paraId="47C0D058" w14:textId="77777777" w:rsidR="00566F16" w:rsidRPr="00DF4CC8" w:rsidRDefault="00566F16" w:rsidP="00566F16">
      <w:pPr>
        <w:tabs>
          <w:tab w:val="center" w:pos="4680"/>
        </w:tabs>
        <w:jc w:val="center"/>
        <w:rPr>
          <w:sz w:val="32"/>
        </w:rPr>
      </w:pPr>
      <w:r w:rsidRPr="00DF4CC8">
        <w:rPr>
          <w:sz w:val="32"/>
        </w:rPr>
        <w:t>Low-Income Housing Tax Credits</w:t>
      </w:r>
    </w:p>
    <w:p w14:paraId="4B05A798" w14:textId="77777777" w:rsidR="00566F16" w:rsidRPr="00611CD6" w:rsidRDefault="00566F16" w:rsidP="00566F16">
      <w:pPr>
        <w:tabs>
          <w:tab w:val="center" w:pos="4680"/>
        </w:tabs>
        <w:jc w:val="center"/>
        <w:rPr>
          <w:b/>
          <w:sz w:val="36"/>
        </w:rPr>
      </w:pPr>
    </w:p>
    <w:tbl>
      <w:tblPr>
        <w:tblW w:w="0" w:type="auto"/>
        <w:tblBorders>
          <w:top w:val="thickThinSmallGap" w:sz="24" w:space="0" w:color="auto"/>
          <w:left w:val="thickThinSmallGap" w:sz="24" w:space="0" w:color="auto"/>
          <w:bottom w:val="thinThickSmallGap" w:sz="24" w:space="0" w:color="auto"/>
          <w:right w:val="thinThickSmallGap" w:sz="24" w:space="0" w:color="auto"/>
        </w:tblBorders>
        <w:tblLook w:val="01E0" w:firstRow="1" w:lastRow="1" w:firstColumn="1" w:lastColumn="1" w:noHBand="0" w:noVBand="0"/>
      </w:tblPr>
      <w:tblGrid>
        <w:gridCol w:w="9270"/>
      </w:tblGrid>
      <w:tr w:rsidR="00566F16" w:rsidRPr="00611CD6" w14:paraId="6DC3F596" w14:textId="77777777" w:rsidTr="00741277">
        <w:trPr>
          <w:trHeight w:val="1232"/>
        </w:trPr>
        <w:tc>
          <w:tcPr>
            <w:tcW w:w="9273" w:type="dxa"/>
          </w:tcPr>
          <w:p w14:paraId="32FB5414" w14:textId="77777777" w:rsidR="00566F16" w:rsidRPr="00DF4CC8" w:rsidRDefault="00566F16" w:rsidP="00741277">
            <w:pPr>
              <w:tabs>
                <w:tab w:val="center" w:pos="4680"/>
              </w:tabs>
              <w:jc w:val="center"/>
              <w:rPr>
                <w:b/>
                <w:sz w:val="32"/>
              </w:rPr>
            </w:pPr>
            <w:r w:rsidRPr="00DF4CC8">
              <w:rPr>
                <w:b/>
                <w:sz w:val="32"/>
              </w:rPr>
              <w:t>*</w:t>
            </w:r>
            <w:proofErr w:type="gramStart"/>
            <w:r w:rsidRPr="00DF4CC8">
              <w:rPr>
                <w:b/>
                <w:sz w:val="32"/>
              </w:rPr>
              <w:t>subject</w:t>
            </w:r>
            <w:proofErr w:type="gramEnd"/>
            <w:r w:rsidRPr="00DF4CC8">
              <w:rPr>
                <w:b/>
                <w:sz w:val="32"/>
              </w:rPr>
              <w:t xml:space="preserve"> to funding availability</w:t>
            </w:r>
          </w:p>
          <w:p w14:paraId="6ED53F48" w14:textId="77777777" w:rsidR="00566F16" w:rsidRPr="00DF4CC8" w:rsidRDefault="00566F16" w:rsidP="00741277">
            <w:pPr>
              <w:tabs>
                <w:tab w:val="center" w:pos="4680"/>
              </w:tabs>
              <w:jc w:val="center"/>
              <w:rPr>
                <w:b/>
                <w:color w:val="0070C0"/>
                <w:sz w:val="32"/>
              </w:rPr>
            </w:pPr>
            <w:r w:rsidRPr="00DF4CC8">
              <w:rPr>
                <w:b/>
                <w:sz w:val="32"/>
              </w:rPr>
              <w:t xml:space="preserve">Download Application Reference Materials at </w:t>
            </w:r>
          </w:p>
          <w:p w14:paraId="05E999F5" w14:textId="77777777" w:rsidR="00566F16" w:rsidRPr="00611CD6" w:rsidRDefault="00B306D2" w:rsidP="00741277">
            <w:pPr>
              <w:tabs>
                <w:tab w:val="center" w:pos="4680"/>
              </w:tabs>
              <w:jc w:val="center"/>
              <w:rPr>
                <w:b/>
                <w:sz w:val="36"/>
              </w:rPr>
            </w:pPr>
            <w:hyperlink r:id="rId8" w:history="1">
              <w:r w:rsidR="00566F16" w:rsidRPr="00654D40">
                <w:rPr>
                  <w:rStyle w:val="Hyperlink"/>
                  <w:b/>
                  <w:sz w:val="28"/>
                </w:rPr>
                <w:t>https://www.ahfc.us/pros/homelessness/development-grants/goal</w:t>
              </w:r>
            </w:hyperlink>
          </w:p>
        </w:tc>
      </w:tr>
    </w:tbl>
    <w:p w14:paraId="11B1746E" w14:textId="77777777" w:rsidR="00566F16" w:rsidRPr="008D4E25" w:rsidRDefault="00566F16" w:rsidP="00566F16">
      <w:pPr>
        <w:tabs>
          <w:tab w:val="center" w:pos="4680"/>
        </w:tabs>
        <w:jc w:val="center"/>
        <w:rPr>
          <w:sz w:val="36"/>
        </w:rPr>
      </w:pPr>
    </w:p>
    <w:p w14:paraId="5FCC5A07" w14:textId="77777777" w:rsidR="00566F16" w:rsidRPr="008D4E25" w:rsidRDefault="00566F16" w:rsidP="00566F16">
      <w:pPr>
        <w:tabs>
          <w:tab w:val="center" w:pos="4680"/>
        </w:tabs>
        <w:jc w:val="center"/>
        <w:rPr>
          <w:sz w:val="36"/>
        </w:rPr>
      </w:pPr>
      <w:r w:rsidRPr="008D4E25">
        <w:rPr>
          <w:sz w:val="36"/>
        </w:rPr>
        <w:t xml:space="preserve">Registration Deadline: 4:30 p.m. Alaska Time, </w:t>
      </w:r>
    </w:p>
    <w:p w14:paraId="3DA6B5FB" w14:textId="75AF0A5F" w:rsidR="00566F16" w:rsidRPr="008D4E25" w:rsidRDefault="00566F16" w:rsidP="00566F16">
      <w:pPr>
        <w:tabs>
          <w:tab w:val="center" w:pos="4680"/>
        </w:tabs>
        <w:jc w:val="center"/>
        <w:rPr>
          <w:sz w:val="36"/>
        </w:rPr>
      </w:pPr>
      <w:r w:rsidRPr="008D4E25">
        <w:rPr>
          <w:sz w:val="36"/>
        </w:rPr>
        <w:t xml:space="preserve">July </w:t>
      </w:r>
      <w:r w:rsidR="00B306D2">
        <w:rPr>
          <w:sz w:val="36"/>
        </w:rPr>
        <w:t>24</w:t>
      </w:r>
      <w:r w:rsidRPr="008D4E25">
        <w:rPr>
          <w:sz w:val="36"/>
        </w:rPr>
        <w:t>, 202</w:t>
      </w:r>
      <w:r w:rsidR="008D4E25">
        <w:rPr>
          <w:sz w:val="36"/>
        </w:rPr>
        <w:t>6</w:t>
      </w:r>
    </w:p>
    <w:p w14:paraId="3FA02631" w14:textId="77777777" w:rsidR="00566F16" w:rsidRPr="008D4E25" w:rsidRDefault="00566F16" w:rsidP="00566F16">
      <w:pPr>
        <w:tabs>
          <w:tab w:val="center" w:pos="4680"/>
        </w:tabs>
        <w:jc w:val="center"/>
        <w:rPr>
          <w:sz w:val="36"/>
        </w:rPr>
      </w:pPr>
    </w:p>
    <w:p w14:paraId="7DE5EEA1" w14:textId="77777777" w:rsidR="00566F16" w:rsidRPr="008D4E25" w:rsidRDefault="00566F16" w:rsidP="00566F16">
      <w:pPr>
        <w:tabs>
          <w:tab w:val="center" w:pos="4680"/>
        </w:tabs>
        <w:jc w:val="center"/>
        <w:rPr>
          <w:sz w:val="36"/>
        </w:rPr>
      </w:pPr>
      <w:r w:rsidRPr="008D4E25">
        <w:rPr>
          <w:sz w:val="36"/>
        </w:rPr>
        <w:t xml:space="preserve">Pre-Application Deadline:  4:30 p.m. Alaska Time, </w:t>
      </w:r>
    </w:p>
    <w:p w14:paraId="7900859B" w14:textId="3E7D655E" w:rsidR="00566F16" w:rsidRPr="008D4E25" w:rsidRDefault="00566F16" w:rsidP="00566F16">
      <w:pPr>
        <w:tabs>
          <w:tab w:val="center" w:pos="4680"/>
        </w:tabs>
        <w:jc w:val="center"/>
        <w:rPr>
          <w:sz w:val="36"/>
        </w:rPr>
      </w:pPr>
      <w:r w:rsidRPr="008D4E25">
        <w:rPr>
          <w:sz w:val="36"/>
        </w:rPr>
        <w:t xml:space="preserve">July </w:t>
      </w:r>
      <w:r w:rsidR="008D4E25" w:rsidRPr="008D4E25">
        <w:rPr>
          <w:sz w:val="36"/>
        </w:rPr>
        <w:t>30</w:t>
      </w:r>
      <w:r w:rsidRPr="008D4E25">
        <w:rPr>
          <w:sz w:val="36"/>
        </w:rPr>
        <w:t>, 202</w:t>
      </w:r>
      <w:r w:rsidR="008D4E25">
        <w:rPr>
          <w:sz w:val="36"/>
        </w:rPr>
        <w:t>6</w:t>
      </w:r>
    </w:p>
    <w:p w14:paraId="24127389" w14:textId="77777777" w:rsidR="00566F16" w:rsidRPr="00611CD6" w:rsidRDefault="00566F16" w:rsidP="00566F16">
      <w:pPr>
        <w:tabs>
          <w:tab w:val="center" w:pos="4680"/>
        </w:tabs>
        <w:jc w:val="center"/>
        <w:rPr>
          <w:sz w:val="32"/>
          <w:szCs w:val="32"/>
        </w:rPr>
      </w:pPr>
    </w:p>
    <w:p w14:paraId="72E71BB8" w14:textId="77777777" w:rsidR="00566F16" w:rsidRPr="00611CD6" w:rsidRDefault="00566F16" w:rsidP="00566F16">
      <w:pPr>
        <w:tabs>
          <w:tab w:val="center" w:pos="4680"/>
        </w:tabs>
        <w:jc w:val="center"/>
        <w:rPr>
          <w:sz w:val="32"/>
          <w:szCs w:val="32"/>
        </w:rPr>
      </w:pPr>
      <w:r w:rsidRPr="00611CD6">
        <w:rPr>
          <w:sz w:val="32"/>
          <w:szCs w:val="32"/>
        </w:rPr>
        <w:t>For more information, contact:</w:t>
      </w:r>
    </w:p>
    <w:p w14:paraId="271F5097" w14:textId="77777777" w:rsidR="00566F16" w:rsidRPr="00611CD6" w:rsidRDefault="00566F16" w:rsidP="00566F16">
      <w:pPr>
        <w:tabs>
          <w:tab w:val="center" w:pos="4680"/>
        </w:tabs>
        <w:jc w:val="center"/>
        <w:rPr>
          <w:b/>
          <w:sz w:val="32"/>
          <w:szCs w:val="32"/>
        </w:rPr>
      </w:pPr>
      <w:r>
        <w:rPr>
          <w:b/>
          <w:sz w:val="32"/>
          <w:szCs w:val="32"/>
        </w:rPr>
        <w:t>Andy Petroni</w:t>
      </w:r>
    </w:p>
    <w:p w14:paraId="77637650" w14:textId="77777777" w:rsidR="00566F16" w:rsidRPr="00611CD6" w:rsidRDefault="00566F16" w:rsidP="00566F16">
      <w:pPr>
        <w:tabs>
          <w:tab w:val="center" w:pos="4680"/>
        </w:tabs>
        <w:jc w:val="center"/>
        <w:rPr>
          <w:b/>
          <w:sz w:val="32"/>
          <w:szCs w:val="32"/>
        </w:rPr>
      </w:pPr>
      <w:r w:rsidRPr="00611CD6">
        <w:rPr>
          <w:b/>
          <w:sz w:val="32"/>
          <w:szCs w:val="32"/>
        </w:rPr>
        <w:t>Alaska Housing Finance Corporation</w:t>
      </w:r>
    </w:p>
    <w:p w14:paraId="3DBEC383" w14:textId="77777777" w:rsidR="00566F16" w:rsidRPr="00611CD6" w:rsidRDefault="00566F16" w:rsidP="00566F16">
      <w:pPr>
        <w:tabs>
          <w:tab w:val="center" w:pos="4680"/>
        </w:tabs>
        <w:jc w:val="center"/>
        <w:rPr>
          <w:b/>
          <w:sz w:val="32"/>
          <w:szCs w:val="32"/>
        </w:rPr>
      </w:pPr>
      <w:r w:rsidRPr="00611CD6">
        <w:rPr>
          <w:b/>
          <w:sz w:val="32"/>
          <w:szCs w:val="32"/>
        </w:rPr>
        <w:t>PO Box 101020</w:t>
      </w:r>
    </w:p>
    <w:p w14:paraId="5A5F5A85" w14:textId="77777777" w:rsidR="00566F16" w:rsidRPr="00611CD6" w:rsidRDefault="00566F16" w:rsidP="00566F16">
      <w:pPr>
        <w:tabs>
          <w:tab w:val="center" w:pos="4680"/>
        </w:tabs>
        <w:jc w:val="center"/>
        <w:rPr>
          <w:b/>
          <w:sz w:val="32"/>
          <w:szCs w:val="32"/>
        </w:rPr>
      </w:pPr>
      <w:r w:rsidRPr="00611CD6">
        <w:rPr>
          <w:b/>
          <w:sz w:val="32"/>
          <w:szCs w:val="32"/>
        </w:rPr>
        <w:t>Anchorage, AK  99510-1020</w:t>
      </w:r>
    </w:p>
    <w:p w14:paraId="172089AB" w14:textId="77777777" w:rsidR="00566F16" w:rsidRPr="00611CD6" w:rsidRDefault="00566F16" w:rsidP="00566F16">
      <w:pPr>
        <w:tabs>
          <w:tab w:val="center" w:pos="4680"/>
        </w:tabs>
        <w:jc w:val="center"/>
      </w:pPr>
      <w:r w:rsidRPr="00611CD6">
        <w:rPr>
          <w:b/>
          <w:sz w:val="32"/>
          <w:szCs w:val="32"/>
        </w:rPr>
        <w:t>Phone: 907-330-8</w:t>
      </w:r>
      <w:r>
        <w:rPr>
          <w:b/>
          <w:sz w:val="32"/>
          <w:szCs w:val="32"/>
        </w:rPr>
        <w:t>275</w:t>
      </w:r>
    </w:p>
    <w:p w14:paraId="0F4B9DA7" w14:textId="77777777" w:rsidR="00566F16" w:rsidRPr="00611CD6" w:rsidRDefault="00566F16" w:rsidP="00566F16">
      <w:pPr>
        <w:pStyle w:val="Title"/>
        <w:jc w:val="left"/>
        <w:rPr>
          <w:color w:val="FF0000"/>
          <w:sz w:val="24"/>
          <w:szCs w:val="24"/>
        </w:rPr>
        <w:sectPr w:rsidR="00566F16" w:rsidRPr="00611CD6" w:rsidSect="00C1694E">
          <w:headerReference w:type="default" r:id="rId9"/>
          <w:footerReference w:type="even" r:id="rId10"/>
          <w:footerReference w:type="default" r:id="rId11"/>
          <w:endnotePr>
            <w:numFmt w:val="decimal"/>
          </w:endnotePr>
          <w:pgSz w:w="12240" w:h="15840"/>
          <w:pgMar w:top="1080" w:right="1440" w:bottom="1080" w:left="1440" w:header="1440" w:footer="576" w:gutter="0"/>
          <w:pgNumType w:start="1"/>
          <w:cols w:space="720"/>
          <w:noEndnote/>
          <w:docGrid w:linePitch="299"/>
        </w:sectPr>
      </w:pPr>
    </w:p>
    <w:p w14:paraId="3209330D" w14:textId="77777777" w:rsidR="00C1694E" w:rsidRDefault="00C1694E" w:rsidP="00566F16">
      <w:pPr>
        <w:pStyle w:val="Title"/>
      </w:pPr>
    </w:p>
    <w:p w14:paraId="05F410C5" w14:textId="77777777" w:rsidR="00566F16" w:rsidRPr="00AB38C8" w:rsidRDefault="00566F16" w:rsidP="00566F16">
      <w:pPr>
        <w:pStyle w:val="Heading2"/>
        <w:ind w:firstLine="720"/>
        <w:rPr>
          <w:sz w:val="28"/>
          <w:szCs w:val="28"/>
        </w:rPr>
      </w:pPr>
      <w:bookmarkStart w:id="0" w:name="_Toc17102387"/>
      <w:bookmarkStart w:id="1" w:name="_Toc17513598"/>
      <w:bookmarkStart w:id="2" w:name="_Toc49161545"/>
      <w:bookmarkStart w:id="3" w:name="_Toc49249598"/>
      <w:bookmarkStart w:id="4" w:name="_Toc78856325"/>
      <w:bookmarkStart w:id="5" w:name="_Toc78856998"/>
      <w:bookmarkStart w:id="6" w:name="_Toc79128788"/>
      <w:bookmarkStart w:id="7" w:name="_Toc111958951"/>
      <w:bookmarkStart w:id="8" w:name="_Toc143767095"/>
      <w:bookmarkStart w:id="9" w:name="_Toc143921253"/>
      <w:r w:rsidRPr="00AB38C8">
        <w:rPr>
          <w:sz w:val="28"/>
          <w:szCs w:val="28"/>
        </w:rPr>
        <w:t>Overview and General Applicable Provisions</w:t>
      </w:r>
      <w:bookmarkEnd w:id="0"/>
      <w:bookmarkEnd w:id="1"/>
      <w:bookmarkEnd w:id="2"/>
      <w:bookmarkEnd w:id="3"/>
      <w:bookmarkEnd w:id="4"/>
      <w:bookmarkEnd w:id="5"/>
      <w:bookmarkEnd w:id="6"/>
      <w:bookmarkEnd w:id="7"/>
      <w:bookmarkEnd w:id="8"/>
      <w:bookmarkEnd w:id="9"/>
    </w:p>
    <w:p w14:paraId="7F341540" w14:textId="77777777" w:rsidR="00566F16" w:rsidRPr="00AB38C8" w:rsidRDefault="00566F16" w:rsidP="00566F16">
      <w:pPr>
        <w:ind w:left="720"/>
        <w:jc w:val="both"/>
      </w:pPr>
      <w:r w:rsidRPr="00AB38C8">
        <w:t xml:space="preserve">In </w:t>
      </w:r>
      <w:r>
        <w:t>September</w:t>
      </w:r>
      <w:r w:rsidRPr="00AB38C8">
        <w:t xml:space="preserve"> 20</w:t>
      </w:r>
      <w:r>
        <w:t>26</w:t>
      </w:r>
      <w:r w:rsidRPr="00AB38C8">
        <w:t xml:space="preserve">, Alaska Housing Finance Corporation (AHFC) </w:t>
      </w:r>
      <w:r>
        <w:t>intends to</w:t>
      </w:r>
      <w:r w:rsidRPr="00AB38C8">
        <w:t xml:space="preserve"> </w:t>
      </w:r>
      <w:r>
        <w:t>publish</w:t>
      </w:r>
      <w:r w:rsidRPr="00AB38C8">
        <w:t xml:space="preserve"> the </w:t>
      </w:r>
      <w:r>
        <w:t>S</w:t>
      </w:r>
      <w:r w:rsidRPr="00AB38C8">
        <w:t>FY 20</w:t>
      </w:r>
      <w:r>
        <w:t>27</w:t>
      </w:r>
      <w:r w:rsidRPr="00AB38C8">
        <w:t xml:space="preserve"> Notice of Funding Availability (NOFA) for its Greater Opportunity for Affordable Living (GOAL) Program.  Under this NOFA, AHFC makes grants, zero-interest rate loans, and Tax Credits available for competitive allocation to successful pre-application respondents who will acquire, rehabilitate, or construct rental housing. </w:t>
      </w:r>
    </w:p>
    <w:p w14:paraId="0C204797" w14:textId="77777777" w:rsidR="00566F16" w:rsidRPr="00AB38C8" w:rsidRDefault="00566F16" w:rsidP="00566F16">
      <w:pPr>
        <w:ind w:left="720"/>
        <w:jc w:val="both"/>
      </w:pPr>
    </w:p>
    <w:p w14:paraId="4D6731C3" w14:textId="77777777" w:rsidR="00566F16" w:rsidRPr="00D560AE" w:rsidRDefault="00566F16" w:rsidP="00566F16">
      <w:pPr>
        <w:ind w:left="720"/>
        <w:jc w:val="both"/>
      </w:pPr>
      <w:r w:rsidRPr="00D560AE">
        <w:t>Applying for GOAL funding is a sequential 3-step process.  Applicants must (1) register for t</w:t>
      </w:r>
      <w:r w:rsidRPr="00A608E0">
        <w:t>he online application system, (2) submit a Pre-</w:t>
      </w:r>
      <w:proofErr w:type="gramStart"/>
      <w:r w:rsidRPr="00A608E0">
        <w:t>Application</w:t>
      </w:r>
      <w:proofErr w:type="gramEnd"/>
      <w:r w:rsidRPr="00A608E0">
        <w:t xml:space="preserve"> using the online application system and (3) submit a GOAL Application using the online application system.  Th</w:t>
      </w:r>
      <w:r w:rsidRPr="00D560AE">
        <w:t xml:space="preserve">is notice contains requirements and deadlines for steps (1) and (2).  Applicants will NOT be eligible to apply for GOAL funding unless they first meet both deadlines for steps (1) and (2).  </w:t>
      </w:r>
    </w:p>
    <w:p w14:paraId="0AECF1BD" w14:textId="77777777" w:rsidR="00566F16" w:rsidRPr="00AB38C8" w:rsidRDefault="00566F16" w:rsidP="00566F16">
      <w:pPr>
        <w:ind w:left="720"/>
        <w:jc w:val="both"/>
      </w:pPr>
    </w:p>
    <w:p w14:paraId="3F02A8B7" w14:textId="77777777" w:rsidR="00566F16" w:rsidRPr="00AB38C8" w:rsidRDefault="00566F16" w:rsidP="00566F16">
      <w:pPr>
        <w:ind w:left="720"/>
        <w:jc w:val="both"/>
        <w:rPr>
          <w:szCs w:val="24"/>
        </w:rPr>
      </w:pPr>
      <w:r w:rsidRPr="00AB38C8">
        <w:t>Funding awarded through the FY 20</w:t>
      </w:r>
      <w:r>
        <w:t>27</w:t>
      </w:r>
      <w:r w:rsidRPr="00AB38C8">
        <w:t xml:space="preserve"> GOAL NOFA will be administered in accordance with requirements established at 24 </w:t>
      </w:r>
      <w:smartTag w:uri="urn:schemas-microsoft-com:office:smarttags" w:element="stockticker">
        <w:r w:rsidRPr="00AB38C8">
          <w:t>CFR</w:t>
        </w:r>
      </w:smartTag>
      <w:r w:rsidRPr="00AB38C8">
        <w:t xml:space="preserve"> Part 92 (HOME Investment Partnerships Program [HOME]); A.S. 18.56.800 - 810, as implemented by 15 </w:t>
      </w:r>
      <w:smartTag w:uri="urn:schemas-microsoft-com:office:smarttags" w:element="stockticker">
        <w:r w:rsidRPr="00AB38C8">
          <w:t>AAC</w:t>
        </w:r>
      </w:smartTag>
      <w:r w:rsidRPr="00AB38C8">
        <w:t xml:space="preserve"> 154.010 - 154.120 (Senior Citizen Housing Development Fund [SCHDF]); </w:t>
      </w:r>
      <w:r>
        <w:t xml:space="preserve">24 CFR Parts 93 (National Housing Trust Fund [NHTF]); </w:t>
      </w:r>
      <w:r w:rsidRPr="00AB38C8">
        <w:t>Title 26 U.S.C. Section 42 (Low Income Housin</w:t>
      </w:r>
      <w:r w:rsidRPr="00AB38C8">
        <w:rPr>
          <w:szCs w:val="24"/>
        </w:rPr>
        <w:t xml:space="preserve">g Tax Credit Program [LIHTC]), and regulation, policy or procedure as applicable, based on the type of funds/tax credits received.  </w:t>
      </w:r>
    </w:p>
    <w:p w14:paraId="640F5224" w14:textId="77777777" w:rsidR="00566F16" w:rsidRPr="00AB38C8" w:rsidRDefault="00566F16" w:rsidP="00566F16">
      <w:pPr>
        <w:ind w:left="720"/>
        <w:jc w:val="both"/>
        <w:rPr>
          <w:szCs w:val="24"/>
        </w:rPr>
      </w:pPr>
    </w:p>
    <w:p w14:paraId="3ACF0ADE" w14:textId="77777777" w:rsidR="00566F16" w:rsidRPr="00AB38C8" w:rsidRDefault="00566F16" w:rsidP="00566F16">
      <w:pPr>
        <w:ind w:left="720"/>
        <w:jc w:val="both"/>
        <w:rPr>
          <w:b/>
          <w:szCs w:val="24"/>
        </w:rPr>
      </w:pPr>
      <w:r w:rsidRPr="00AB38C8">
        <w:rPr>
          <w:b/>
          <w:i/>
          <w:szCs w:val="24"/>
        </w:rPr>
        <w:t>The purpose of AHFC's Greater Opportunities for Affordable Living (GOAL) program is to expand the supply of decent, safe, sanitary, and affordable housing for occupancy by lower-income persons and families, and senior citizens.</w:t>
      </w:r>
      <w:r w:rsidRPr="00AB38C8">
        <w:rPr>
          <w:b/>
          <w:szCs w:val="24"/>
        </w:rPr>
        <w:t xml:space="preserve">   </w:t>
      </w:r>
    </w:p>
    <w:p w14:paraId="33E0ADAE" w14:textId="77777777" w:rsidR="00566F16" w:rsidRPr="00AB38C8" w:rsidRDefault="00566F16" w:rsidP="00566F16">
      <w:pPr>
        <w:ind w:left="720"/>
        <w:rPr>
          <w:szCs w:val="24"/>
        </w:rPr>
      </w:pPr>
    </w:p>
    <w:p w14:paraId="4D73CD8B" w14:textId="51252CBC" w:rsidR="00566F16" w:rsidRPr="00AB38C8" w:rsidRDefault="00566F16" w:rsidP="00566F16">
      <w:pPr>
        <w:widowControl w:val="0"/>
        <w:numPr>
          <w:ilvl w:val="0"/>
          <w:numId w:val="15"/>
        </w:numPr>
        <w:tabs>
          <w:tab w:val="clear" w:pos="1440"/>
          <w:tab w:val="num" w:pos="1080"/>
        </w:tabs>
        <w:ind w:left="1080"/>
        <w:jc w:val="both"/>
        <w:rPr>
          <w:szCs w:val="24"/>
        </w:rPr>
      </w:pPr>
      <w:r w:rsidRPr="00AB38C8">
        <w:rPr>
          <w:szCs w:val="24"/>
        </w:rPr>
        <w:t>Assistance provided by AHFC for this purpose will be in three different methods: Federal tax credits (LIHTC)</w:t>
      </w:r>
      <w:r w:rsidR="00C1694E">
        <w:rPr>
          <w:szCs w:val="24"/>
        </w:rPr>
        <w:t>,</w:t>
      </w:r>
      <w:r w:rsidRPr="00AB38C8">
        <w:rPr>
          <w:szCs w:val="24"/>
        </w:rPr>
        <w:t xml:space="preserve"> which are generally sold by the recipient to derive project equity capital; Conditional grants (HOME and SCHDF); and/or Zero-interest rate loans (HOME</w:t>
      </w:r>
      <w:r>
        <w:rPr>
          <w:szCs w:val="24"/>
        </w:rPr>
        <w:t xml:space="preserve"> and NHTF</w:t>
      </w:r>
      <w:r w:rsidRPr="00AB38C8">
        <w:rPr>
          <w:szCs w:val="24"/>
        </w:rPr>
        <w:t>).</w:t>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t xml:space="preserve">  </w:t>
      </w:r>
    </w:p>
    <w:p w14:paraId="6EA12576" w14:textId="77777777" w:rsidR="00566F16" w:rsidRPr="00DE075A" w:rsidRDefault="00566F16" w:rsidP="00566F16">
      <w:pPr>
        <w:widowControl w:val="0"/>
        <w:numPr>
          <w:ilvl w:val="0"/>
          <w:numId w:val="15"/>
        </w:numPr>
        <w:tabs>
          <w:tab w:val="clear" w:pos="1440"/>
          <w:tab w:val="num" w:pos="1080"/>
        </w:tabs>
        <w:ind w:hanging="720"/>
        <w:jc w:val="both"/>
        <w:rPr>
          <w:szCs w:val="24"/>
        </w:rPr>
      </w:pPr>
      <w:r w:rsidRPr="00DE075A">
        <w:rPr>
          <w:szCs w:val="24"/>
        </w:rPr>
        <w:t>Grants are available only to Municipalities and qualifying non-profit organizations.</w:t>
      </w:r>
    </w:p>
    <w:p w14:paraId="37270326" w14:textId="77777777" w:rsidR="00566F16" w:rsidRPr="00AB38C8" w:rsidRDefault="00566F16" w:rsidP="00566F16">
      <w:pPr>
        <w:ind w:left="720"/>
        <w:jc w:val="both"/>
        <w:rPr>
          <w:szCs w:val="24"/>
        </w:rPr>
      </w:pPr>
      <w:r w:rsidRPr="00AB38C8">
        <w:rPr>
          <w:szCs w:val="24"/>
        </w:rPr>
        <w:tab/>
      </w:r>
      <w:r w:rsidRPr="00AB38C8">
        <w:rPr>
          <w:szCs w:val="24"/>
        </w:rPr>
        <w:tab/>
      </w:r>
    </w:p>
    <w:p w14:paraId="6EB09634" w14:textId="77777777" w:rsidR="00566F16" w:rsidRPr="00AB38C8" w:rsidRDefault="00566F16" w:rsidP="00566F16">
      <w:pPr>
        <w:ind w:left="720"/>
        <w:jc w:val="both"/>
        <w:rPr>
          <w:b/>
          <w:sz w:val="28"/>
          <w:szCs w:val="28"/>
        </w:rPr>
      </w:pPr>
      <w:r w:rsidRPr="00AB38C8">
        <w:rPr>
          <w:b/>
          <w:sz w:val="28"/>
          <w:szCs w:val="28"/>
        </w:rPr>
        <w:t>Purpose of Preliminary Application</w:t>
      </w:r>
    </w:p>
    <w:p w14:paraId="077F3B16" w14:textId="77777777" w:rsidR="00566F16" w:rsidRPr="00AB38C8" w:rsidRDefault="00566F16" w:rsidP="00566F16">
      <w:pPr>
        <w:ind w:left="720"/>
        <w:jc w:val="both"/>
        <w:rPr>
          <w:szCs w:val="24"/>
        </w:rPr>
      </w:pP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r w:rsidRPr="00AB38C8">
        <w:rPr>
          <w:szCs w:val="24"/>
        </w:rPr>
        <w:tab/>
      </w:r>
    </w:p>
    <w:p w14:paraId="370A6793" w14:textId="03C2DEF4" w:rsidR="00566F16" w:rsidRPr="00AB38C8" w:rsidRDefault="00566F16" w:rsidP="00566F16">
      <w:pPr>
        <w:ind w:left="720"/>
        <w:jc w:val="both"/>
        <w:rPr>
          <w:szCs w:val="24"/>
        </w:rPr>
      </w:pPr>
      <w:r w:rsidRPr="00AB38C8">
        <w:rPr>
          <w:szCs w:val="24"/>
        </w:rPr>
        <w:t xml:space="preserve">The preliminary application will provide sufficient information for AHFC to determine if the </w:t>
      </w:r>
      <w:r>
        <w:rPr>
          <w:szCs w:val="24"/>
        </w:rPr>
        <w:t>proposed project meets the minimum threshold to</w:t>
      </w:r>
      <w:r w:rsidRPr="00AB38C8">
        <w:rPr>
          <w:szCs w:val="24"/>
        </w:rPr>
        <w:t xml:space="preserve"> be invited into the full </w:t>
      </w:r>
      <w:r>
        <w:rPr>
          <w:szCs w:val="24"/>
        </w:rPr>
        <w:t>S</w:t>
      </w:r>
      <w:r w:rsidRPr="00AB38C8">
        <w:rPr>
          <w:szCs w:val="24"/>
        </w:rPr>
        <w:t>FY 20</w:t>
      </w:r>
      <w:r>
        <w:rPr>
          <w:szCs w:val="24"/>
        </w:rPr>
        <w:t>2</w:t>
      </w:r>
      <w:r w:rsidR="008D4E25">
        <w:rPr>
          <w:szCs w:val="24"/>
        </w:rPr>
        <w:t>7</w:t>
      </w:r>
      <w:r w:rsidRPr="00AB38C8">
        <w:rPr>
          <w:szCs w:val="24"/>
        </w:rPr>
        <w:t xml:space="preserve"> GOAL competition.  The preliminary application process also enables AHFC to evaluate the following aspects of project proposals:</w:t>
      </w:r>
    </w:p>
    <w:p w14:paraId="25344F2A" w14:textId="77777777" w:rsidR="00566F16" w:rsidRPr="004C7EB9" w:rsidRDefault="00566F16" w:rsidP="00566F16">
      <w:pPr>
        <w:ind w:left="720"/>
        <w:jc w:val="both"/>
        <w:rPr>
          <w:szCs w:val="24"/>
        </w:rPr>
      </w:pPr>
    </w:p>
    <w:p w14:paraId="62CDD326"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t>All proposals for 9% LIHTCs that involve acquisition and renovation, or renovation, of an existing property will be evaluated at the pre-application stage to see if, in AHFC’s sole opinion, the property may be rehabilitated using 4% LIHTCs.  If in AHFC’s sole opinion the property can be renovated using 4% LIHTCs, the proposal will not be invited to apply for 9% LIHTCs in the GOAL round.</w:t>
      </w:r>
    </w:p>
    <w:p w14:paraId="0D2A514B"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lastRenderedPageBreak/>
        <w:t>Market Feasibility: Is there sufficient need and / or demand for the proposed project?</w:t>
      </w:r>
    </w:p>
    <w:p w14:paraId="2B7D60B8"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t xml:space="preserve">Whether city, borough or census area population data will be used to determine the point values for the proposed project under </w:t>
      </w:r>
      <w:r>
        <w:t>the Application Rating and Ranking Criteria, item 4.c.,</w:t>
      </w:r>
      <w:r w:rsidRPr="004C7EB9">
        <w:t xml:space="preserve"> of the Rating </w:t>
      </w:r>
      <w:r>
        <w:t xml:space="preserve">and Award </w:t>
      </w:r>
      <w:r w:rsidRPr="004C7EB9">
        <w:t>Criteria.</w:t>
      </w:r>
    </w:p>
    <w:p w14:paraId="03F44EB6"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t>Whether or not changes to the project design, scope, and / or funding mix are necessary and / or appropriate (as determined by AHFC).</w:t>
      </w:r>
    </w:p>
    <w:p w14:paraId="4E7C43C1"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t>Whether or not the proposal can reasonably be expected to be constructed with the proposed funding mix and development team.</w:t>
      </w:r>
    </w:p>
    <w:p w14:paraId="10402054" w14:textId="77777777" w:rsidR="00566F16" w:rsidRPr="004C7EB9" w:rsidRDefault="00566F16" w:rsidP="00566F16">
      <w:pPr>
        <w:numPr>
          <w:ilvl w:val="0"/>
          <w:numId w:val="17"/>
        </w:numPr>
        <w:autoSpaceDE w:val="0"/>
        <w:autoSpaceDN w:val="0"/>
        <w:adjustRightInd w:val="0"/>
        <w:spacing w:after="100" w:afterAutospacing="1" w:line="360" w:lineRule="auto"/>
        <w:jc w:val="both"/>
      </w:pPr>
      <w:r w:rsidRPr="004C7EB9">
        <w:t xml:space="preserve">Whether or not penalty points should be assessed. </w:t>
      </w:r>
    </w:p>
    <w:p w14:paraId="0724E87F" w14:textId="77777777" w:rsidR="00566F16" w:rsidRPr="004C7EB9" w:rsidRDefault="00566F16" w:rsidP="00566F16">
      <w:pPr>
        <w:widowControl w:val="0"/>
        <w:numPr>
          <w:ilvl w:val="0"/>
          <w:numId w:val="17"/>
        </w:numPr>
        <w:jc w:val="both"/>
        <w:rPr>
          <w:szCs w:val="24"/>
        </w:rPr>
      </w:pPr>
      <w:r w:rsidRPr="004C7EB9">
        <w:t xml:space="preserve">Project Team and Sponsor Capacity: Pre-applicants will need to establish that sufficient capacity exists to develop and operate the proposed project.  </w:t>
      </w:r>
      <w:r w:rsidRPr="004C7EB9">
        <w:rPr>
          <w:szCs w:val="24"/>
        </w:rPr>
        <w:t xml:space="preserve">(see Threshold Level experience, pages </w:t>
      </w:r>
      <w:r w:rsidRPr="000869B7">
        <w:rPr>
          <w:szCs w:val="24"/>
        </w:rPr>
        <w:t>17-18 of the GOAL Program Rating and Award Criteria f</w:t>
      </w:r>
      <w:r w:rsidRPr="004C7EB9">
        <w:rPr>
          <w:szCs w:val="24"/>
        </w:rPr>
        <w:t xml:space="preserve">or details).  </w:t>
      </w:r>
    </w:p>
    <w:p w14:paraId="2DF80989" w14:textId="77777777" w:rsidR="00566F16" w:rsidRPr="00AB38C8" w:rsidRDefault="00566F16" w:rsidP="00566F16">
      <w:pPr>
        <w:ind w:left="720"/>
        <w:jc w:val="both"/>
        <w:rPr>
          <w:i/>
          <w:szCs w:val="24"/>
        </w:rPr>
      </w:pPr>
    </w:p>
    <w:p w14:paraId="1F92857E" w14:textId="77777777" w:rsidR="00566F16" w:rsidRPr="00AB38C8" w:rsidRDefault="00566F16" w:rsidP="00566F16">
      <w:pPr>
        <w:ind w:left="720"/>
        <w:jc w:val="both"/>
        <w:rPr>
          <w:sz w:val="28"/>
          <w:szCs w:val="28"/>
        </w:rPr>
      </w:pPr>
      <w:r w:rsidRPr="00AB38C8">
        <w:rPr>
          <w:b/>
          <w:sz w:val="28"/>
          <w:szCs w:val="28"/>
        </w:rPr>
        <w:t>Application &amp; Submission</w:t>
      </w:r>
    </w:p>
    <w:p w14:paraId="5317F981" w14:textId="77777777" w:rsidR="00566F16" w:rsidRPr="00AB38C8" w:rsidRDefault="00566F16" w:rsidP="00566F16">
      <w:pPr>
        <w:ind w:left="720"/>
        <w:jc w:val="both"/>
        <w:rPr>
          <w:szCs w:val="24"/>
        </w:rPr>
      </w:pPr>
    </w:p>
    <w:p w14:paraId="59CBB5AF" w14:textId="26B6B0F4" w:rsidR="00566F16" w:rsidRPr="00AB38C8" w:rsidRDefault="00566F16" w:rsidP="00566F16">
      <w:pPr>
        <w:ind w:left="720"/>
        <w:jc w:val="both"/>
        <w:rPr>
          <w:szCs w:val="24"/>
        </w:rPr>
      </w:pPr>
      <w:r w:rsidRPr="00AB38C8">
        <w:rPr>
          <w:szCs w:val="24"/>
          <w:u w:val="single"/>
        </w:rPr>
        <w:t>Step (1)</w:t>
      </w:r>
      <w:r w:rsidRPr="00AB38C8">
        <w:rPr>
          <w:szCs w:val="24"/>
        </w:rPr>
        <w:t xml:space="preserve"> – Submission of Registration Request for the online application system via email to </w:t>
      </w:r>
      <w:hyperlink r:id="rId12" w:history="1">
        <w:r w:rsidR="008D4E25" w:rsidRPr="00F247E7">
          <w:rPr>
            <w:rStyle w:val="Hyperlink"/>
            <w:szCs w:val="24"/>
          </w:rPr>
          <w:t>apetroni@ahfc.us</w:t>
        </w:r>
      </w:hyperlink>
      <w:r>
        <w:rPr>
          <w:szCs w:val="24"/>
        </w:rPr>
        <w:t xml:space="preserve"> </w:t>
      </w:r>
      <w:r w:rsidRPr="00AB38C8">
        <w:rPr>
          <w:szCs w:val="24"/>
        </w:rPr>
        <w:t>.</w:t>
      </w:r>
    </w:p>
    <w:p w14:paraId="7705E305" w14:textId="77777777" w:rsidR="00566F16" w:rsidRPr="00AB38C8" w:rsidRDefault="00566F16" w:rsidP="00566F16">
      <w:pPr>
        <w:ind w:left="720"/>
        <w:jc w:val="both"/>
        <w:rPr>
          <w:szCs w:val="24"/>
        </w:rPr>
      </w:pPr>
    </w:p>
    <w:p w14:paraId="37E33EF6" w14:textId="4638E4F2" w:rsidR="00566F16" w:rsidRPr="00AB38C8" w:rsidRDefault="00566F16" w:rsidP="00566F16">
      <w:pPr>
        <w:ind w:left="720"/>
        <w:jc w:val="both"/>
        <w:rPr>
          <w:szCs w:val="24"/>
        </w:rPr>
      </w:pPr>
      <w:r w:rsidRPr="00AB38C8">
        <w:rPr>
          <w:szCs w:val="24"/>
        </w:rPr>
        <w:t>The Preliminary application process requires that AHFC receive a Registration Request for the online application system no later th</w:t>
      </w:r>
      <w:r w:rsidRPr="00A608E0">
        <w:rPr>
          <w:szCs w:val="24"/>
        </w:rPr>
        <w:t xml:space="preserve">an 4:30 p.m. (Alaska time) on July </w:t>
      </w:r>
      <w:r w:rsidR="00B306D2">
        <w:rPr>
          <w:szCs w:val="24"/>
        </w:rPr>
        <w:t>24</w:t>
      </w:r>
      <w:r w:rsidRPr="00A608E0">
        <w:rPr>
          <w:szCs w:val="24"/>
        </w:rPr>
        <w:t>, 202</w:t>
      </w:r>
      <w:r w:rsidR="008D4E25">
        <w:rPr>
          <w:szCs w:val="24"/>
        </w:rPr>
        <w:t>6</w:t>
      </w:r>
      <w:r w:rsidRPr="00A608E0">
        <w:rPr>
          <w:szCs w:val="24"/>
        </w:rPr>
        <w:t xml:space="preserve">.  </w:t>
      </w:r>
    </w:p>
    <w:p w14:paraId="23F33EDB" w14:textId="28645889" w:rsidR="00566F16" w:rsidRPr="00AB38C8" w:rsidRDefault="00566F16" w:rsidP="00566F16">
      <w:pPr>
        <w:ind w:left="720"/>
        <w:jc w:val="both"/>
        <w:rPr>
          <w:szCs w:val="24"/>
        </w:rPr>
      </w:pPr>
      <w:r w:rsidRPr="00AB38C8">
        <w:rPr>
          <w:szCs w:val="24"/>
        </w:rPr>
        <w:br/>
        <w:t xml:space="preserve">To submit a registration request for the online application system, the following information will need to be provided to AHFC via email at </w:t>
      </w:r>
      <w:hyperlink r:id="rId13" w:history="1">
        <w:r w:rsidR="008D4E25" w:rsidRPr="00F247E7">
          <w:rPr>
            <w:rStyle w:val="Hyperlink"/>
            <w:szCs w:val="24"/>
          </w:rPr>
          <w:t>apetroni@ahfc.us</w:t>
        </w:r>
      </w:hyperlink>
      <w:r w:rsidRPr="00AB38C8">
        <w:rPr>
          <w:szCs w:val="24"/>
        </w:rPr>
        <w:t xml:space="preserve"> </w:t>
      </w:r>
    </w:p>
    <w:p w14:paraId="45BF2915" w14:textId="77777777" w:rsidR="00566F16" w:rsidRDefault="00566F16" w:rsidP="00566F16">
      <w:pPr>
        <w:jc w:val="both"/>
        <w:rPr>
          <w:color w:val="FF0000"/>
          <w:szCs w:val="24"/>
        </w:rPr>
      </w:pPr>
      <w:r w:rsidRPr="00AB38C8">
        <w:rPr>
          <w:color w:val="FF0000"/>
          <w:szCs w:val="24"/>
        </w:rPr>
        <w:tab/>
      </w:r>
    </w:p>
    <w:p w14:paraId="5197D615" w14:textId="77777777" w:rsidR="00566F16" w:rsidRDefault="00566F16" w:rsidP="00566F16">
      <w:pPr>
        <w:jc w:val="both"/>
        <w:rPr>
          <w:szCs w:val="24"/>
        </w:rPr>
      </w:pPr>
    </w:p>
    <w:p w14:paraId="48FCBA19" w14:textId="77777777" w:rsidR="00566F16" w:rsidRDefault="00566F16" w:rsidP="00566F16">
      <w:pPr>
        <w:jc w:val="both"/>
      </w:pPr>
    </w:p>
    <w:p w14:paraId="227C1C16" w14:textId="77777777" w:rsidR="00566F16" w:rsidRPr="00AB38C8" w:rsidRDefault="00566F16" w:rsidP="00566F16">
      <w:pPr>
        <w:jc w:val="both"/>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4462"/>
      </w:tblGrid>
      <w:tr w:rsidR="00566F16" w:rsidRPr="00AB38C8" w14:paraId="6CA095D1" w14:textId="77777777" w:rsidTr="00741277">
        <w:tc>
          <w:tcPr>
            <w:tcW w:w="8892" w:type="dxa"/>
            <w:gridSpan w:val="2"/>
            <w:shd w:val="clear" w:color="auto" w:fill="D9D9D9"/>
            <w:vAlign w:val="center"/>
          </w:tcPr>
          <w:p w14:paraId="0E4E4B04" w14:textId="77777777" w:rsidR="00566F16" w:rsidRPr="00AB38C8" w:rsidRDefault="00566F16" w:rsidP="00741277">
            <w:pPr>
              <w:jc w:val="center"/>
              <w:rPr>
                <w:b/>
                <w:szCs w:val="24"/>
              </w:rPr>
            </w:pPr>
            <w:r w:rsidRPr="00AB38C8">
              <w:rPr>
                <w:b/>
                <w:szCs w:val="24"/>
              </w:rPr>
              <w:t>Registration Request</w:t>
            </w:r>
          </w:p>
        </w:tc>
      </w:tr>
      <w:tr w:rsidR="00566F16" w:rsidRPr="00AB38C8" w14:paraId="132B01C2" w14:textId="77777777" w:rsidTr="00741277">
        <w:tc>
          <w:tcPr>
            <w:tcW w:w="4230" w:type="dxa"/>
            <w:shd w:val="clear" w:color="auto" w:fill="D9D9D9"/>
            <w:vAlign w:val="center"/>
          </w:tcPr>
          <w:p w14:paraId="67A06A0F" w14:textId="77777777" w:rsidR="00566F16" w:rsidRPr="00AB38C8" w:rsidRDefault="00566F16" w:rsidP="00741277">
            <w:pPr>
              <w:jc w:val="center"/>
              <w:rPr>
                <w:b/>
                <w:szCs w:val="24"/>
              </w:rPr>
            </w:pPr>
            <w:r w:rsidRPr="00AB38C8">
              <w:rPr>
                <w:b/>
                <w:szCs w:val="24"/>
              </w:rPr>
              <w:t>Organization</w:t>
            </w:r>
          </w:p>
        </w:tc>
        <w:tc>
          <w:tcPr>
            <w:tcW w:w="4662" w:type="dxa"/>
            <w:shd w:val="clear" w:color="auto" w:fill="D9D9D9"/>
            <w:vAlign w:val="center"/>
          </w:tcPr>
          <w:p w14:paraId="1011BA76" w14:textId="77777777" w:rsidR="00566F16" w:rsidRPr="00AB38C8" w:rsidRDefault="00566F16" w:rsidP="00741277">
            <w:pPr>
              <w:jc w:val="center"/>
              <w:rPr>
                <w:b/>
                <w:szCs w:val="24"/>
              </w:rPr>
            </w:pPr>
            <w:r w:rsidRPr="00AB38C8">
              <w:rPr>
                <w:b/>
                <w:szCs w:val="24"/>
              </w:rPr>
              <w:t>Registration</w:t>
            </w:r>
          </w:p>
        </w:tc>
      </w:tr>
      <w:tr w:rsidR="00566F16" w:rsidRPr="00AB38C8" w14:paraId="17CCD59E" w14:textId="77777777" w:rsidTr="00741277">
        <w:tc>
          <w:tcPr>
            <w:tcW w:w="4230" w:type="dxa"/>
          </w:tcPr>
          <w:p w14:paraId="73EF2E7D" w14:textId="77777777" w:rsidR="00566F16" w:rsidRPr="00AB38C8" w:rsidRDefault="00566F16" w:rsidP="00741277">
            <w:pPr>
              <w:jc w:val="both"/>
              <w:rPr>
                <w:szCs w:val="24"/>
              </w:rPr>
            </w:pPr>
            <w:r w:rsidRPr="00AB38C8">
              <w:rPr>
                <w:szCs w:val="24"/>
              </w:rPr>
              <w:t xml:space="preserve">Name of Applicant Entity: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c>
          <w:tcPr>
            <w:tcW w:w="4662" w:type="dxa"/>
          </w:tcPr>
          <w:p w14:paraId="39D76866" w14:textId="1F528178" w:rsidR="00566F16" w:rsidRPr="00AB38C8" w:rsidRDefault="008D4E25" w:rsidP="00741277">
            <w:pPr>
              <w:jc w:val="both"/>
              <w:rPr>
                <w:szCs w:val="24"/>
              </w:rPr>
            </w:pPr>
            <w:r>
              <w:rPr>
                <w:szCs w:val="24"/>
              </w:rPr>
              <w:t>Point of Contact</w:t>
            </w:r>
            <w:r w:rsidR="00566F16" w:rsidRPr="00AB38C8">
              <w:rPr>
                <w:szCs w:val="24"/>
              </w:rPr>
              <w:t xml:space="preserve">: </w:t>
            </w:r>
            <w:r w:rsidR="00566F16" w:rsidRPr="00AB38C8">
              <w:rPr>
                <w:sz w:val="20"/>
                <w:highlight w:val="lightGray"/>
              </w:rPr>
              <w:fldChar w:fldCharType="begin">
                <w:ffData>
                  <w:name w:val="Text142"/>
                  <w:enabled/>
                  <w:calcOnExit w:val="0"/>
                  <w:textInput/>
                </w:ffData>
              </w:fldChar>
            </w:r>
            <w:r w:rsidR="00566F16" w:rsidRPr="00AB38C8">
              <w:rPr>
                <w:sz w:val="20"/>
                <w:highlight w:val="lightGray"/>
              </w:rPr>
              <w:instrText xml:space="preserve"> FORMTEXT </w:instrText>
            </w:r>
            <w:r w:rsidR="00566F16" w:rsidRPr="00AB38C8">
              <w:rPr>
                <w:sz w:val="20"/>
                <w:highlight w:val="lightGray"/>
              </w:rPr>
            </w:r>
            <w:r w:rsidR="00566F16" w:rsidRPr="00AB38C8">
              <w:rPr>
                <w:sz w:val="20"/>
                <w:highlight w:val="lightGray"/>
              </w:rPr>
              <w:fldChar w:fldCharType="separate"/>
            </w:r>
            <w:r w:rsidR="00566F16" w:rsidRPr="00AB38C8">
              <w:rPr>
                <w:rFonts w:ascii="Cambria Math" w:hAnsi="Cambria Math"/>
                <w:sz w:val="20"/>
                <w:highlight w:val="lightGray"/>
              </w:rPr>
              <w:t> </w:t>
            </w:r>
            <w:r w:rsidR="00566F16" w:rsidRPr="00AB38C8">
              <w:rPr>
                <w:rFonts w:ascii="Cambria Math" w:hAnsi="Cambria Math"/>
                <w:sz w:val="20"/>
                <w:highlight w:val="lightGray"/>
              </w:rPr>
              <w:t> </w:t>
            </w:r>
            <w:r w:rsidR="00566F16" w:rsidRPr="00AB38C8">
              <w:rPr>
                <w:rFonts w:ascii="Cambria Math" w:hAnsi="Cambria Math"/>
                <w:sz w:val="20"/>
                <w:highlight w:val="lightGray"/>
              </w:rPr>
              <w:t> </w:t>
            </w:r>
            <w:r w:rsidR="00566F16" w:rsidRPr="00AB38C8">
              <w:rPr>
                <w:rFonts w:ascii="Cambria Math" w:hAnsi="Cambria Math"/>
                <w:sz w:val="20"/>
                <w:highlight w:val="lightGray"/>
              </w:rPr>
              <w:t> </w:t>
            </w:r>
            <w:r w:rsidR="00566F16" w:rsidRPr="00AB38C8">
              <w:rPr>
                <w:rFonts w:ascii="Cambria Math" w:hAnsi="Cambria Math"/>
                <w:sz w:val="20"/>
                <w:highlight w:val="lightGray"/>
              </w:rPr>
              <w:t> </w:t>
            </w:r>
            <w:r w:rsidR="00566F16" w:rsidRPr="00AB38C8">
              <w:rPr>
                <w:sz w:val="20"/>
                <w:highlight w:val="lightGray"/>
              </w:rPr>
              <w:fldChar w:fldCharType="end"/>
            </w:r>
          </w:p>
        </w:tc>
      </w:tr>
      <w:tr w:rsidR="00566F16" w:rsidRPr="00AB38C8" w14:paraId="12C6C07D" w14:textId="77777777" w:rsidTr="00741277">
        <w:tc>
          <w:tcPr>
            <w:tcW w:w="4230" w:type="dxa"/>
          </w:tcPr>
          <w:p w14:paraId="282BC998" w14:textId="77777777" w:rsidR="00566F16" w:rsidRPr="00AB38C8" w:rsidRDefault="00566F16" w:rsidP="00741277">
            <w:pPr>
              <w:jc w:val="both"/>
              <w:rPr>
                <w:szCs w:val="24"/>
              </w:rPr>
            </w:pPr>
            <w:r w:rsidRPr="00AB38C8">
              <w:rPr>
                <w:szCs w:val="24"/>
              </w:rPr>
              <w:t xml:space="preserve">Address: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c>
          <w:tcPr>
            <w:tcW w:w="4662" w:type="dxa"/>
          </w:tcPr>
          <w:p w14:paraId="32E192BA" w14:textId="65A090E5" w:rsidR="00566F16" w:rsidRPr="00AB38C8" w:rsidRDefault="00566F16" w:rsidP="00741277">
            <w:pPr>
              <w:jc w:val="both"/>
              <w:rPr>
                <w:szCs w:val="24"/>
              </w:rPr>
            </w:pPr>
            <w:r w:rsidRPr="00AB38C8">
              <w:rPr>
                <w:szCs w:val="24"/>
              </w:rPr>
              <w:t xml:space="preserve">Phone Number: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r>
      <w:tr w:rsidR="00566F16" w:rsidRPr="00AB38C8" w14:paraId="77A3DCE4" w14:textId="77777777" w:rsidTr="00741277">
        <w:tc>
          <w:tcPr>
            <w:tcW w:w="4230" w:type="dxa"/>
          </w:tcPr>
          <w:p w14:paraId="6DD349DC" w14:textId="77777777" w:rsidR="00566F16" w:rsidRPr="00AB38C8" w:rsidRDefault="00566F16" w:rsidP="00741277">
            <w:pPr>
              <w:jc w:val="both"/>
              <w:rPr>
                <w:szCs w:val="24"/>
              </w:rPr>
            </w:pPr>
            <w:r w:rsidRPr="00AB38C8">
              <w:rPr>
                <w:szCs w:val="24"/>
              </w:rPr>
              <w:t xml:space="preserve">City, State, Zip: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c>
          <w:tcPr>
            <w:tcW w:w="4662" w:type="dxa"/>
          </w:tcPr>
          <w:p w14:paraId="5DC55D94" w14:textId="64DF49BC" w:rsidR="00566F16" w:rsidRPr="00AB38C8" w:rsidRDefault="00566F16" w:rsidP="00741277">
            <w:pPr>
              <w:jc w:val="both"/>
              <w:rPr>
                <w:szCs w:val="24"/>
              </w:rPr>
            </w:pPr>
            <w:r w:rsidRPr="00AB38C8">
              <w:rPr>
                <w:szCs w:val="24"/>
              </w:rPr>
              <w:t xml:space="preserve">Email Address: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r>
      <w:tr w:rsidR="00566F16" w:rsidRPr="00AB38C8" w14:paraId="7803879F" w14:textId="77777777" w:rsidTr="00741277">
        <w:tc>
          <w:tcPr>
            <w:tcW w:w="4230" w:type="dxa"/>
          </w:tcPr>
          <w:p w14:paraId="645E06C5" w14:textId="77777777" w:rsidR="00566F16" w:rsidRPr="00AB38C8" w:rsidRDefault="00566F16" w:rsidP="00741277">
            <w:pPr>
              <w:jc w:val="both"/>
              <w:rPr>
                <w:szCs w:val="24"/>
              </w:rPr>
            </w:pPr>
            <w:r w:rsidRPr="00AB38C8">
              <w:rPr>
                <w:szCs w:val="24"/>
              </w:rPr>
              <w:t xml:space="preserve">Phone Number: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c>
          <w:tcPr>
            <w:tcW w:w="4662" w:type="dxa"/>
            <w:vMerge w:val="restart"/>
          </w:tcPr>
          <w:p w14:paraId="06369BCC" w14:textId="74429499" w:rsidR="00566F16" w:rsidRPr="00AB38C8" w:rsidRDefault="00566F16" w:rsidP="00741277">
            <w:pPr>
              <w:jc w:val="both"/>
              <w:rPr>
                <w:szCs w:val="24"/>
              </w:rPr>
            </w:pPr>
            <w:r w:rsidRPr="00AB38C8">
              <w:rPr>
                <w:szCs w:val="24"/>
              </w:rPr>
              <w:t>Name and Location of Projec</w:t>
            </w:r>
            <w:r w:rsidR="008D4E25">
              <w:rPr>
                <w:szCs w:val="24"/>
              </w:rPr>
              <w:t>t</w:t>
            </w:r>
            <w:r w:rsidRPr="00AB38C8">
              <w:rPr>
                <w:szCs w:val="24"/>
              </w:rPr>
              <w:t xml:space="preserve">: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r>
      <w:tr w:rsidR="00566F16" w:rsidRPr="00AB38C8" w14:paraId="3F66FF53" w14:textId="77777777" w:rsidTr="00741277">
        <w:tc>
          <w:tcPr>
            <w:tcW w:w="4230" w:type="dxa"/>
          </w:tcPr>
          <w:p w14:paraId="3A76C68A" w14:textId="77777777" w:rsidR="00566F16" w:rsidRPr="00AB38C8" w:rsidRDefault="00566F16" w:rsidP="00741277">
            <w:pPr>
              <w:jc w:val="both"/>
              <w:rPr>
                <w:szCs w:val="24"/>
              </w:rPr>
            </w:pPr>
            <w:r w:rsidRPr="00AB38C8">
              <w:rPr>
                <w:szCs w:val="24"/>
              </w:rPr>
              <w:t xml:space="preserve">Email Address: </w:t>
            </w:r>
            <w:r w:rsidRPr="00AB38C8">
              <w:rPr>
                <w:sz w:val="20"/>
                <w:highlight w:val="lightGray"/>
              </w:rPr>
              <w:fldChar w:fldCharType="begin">
                <w:ffData>
                  <w:name w:val="Text142"/>
                  <w:enabled/>
                  <w:calcOnExit w:val="0"/>
                  <w:textInput/>
                </w:ffData>
              </w:fldChar>
            </w:r>
            <w:r w:rsidRPr="00AB38C8">
              <w:rPr>
                <w:sz w:val="20"/>
                <w:highlight w:val="lightGray"/>
              </w:rPr>
              <w:instrText xml:space="preserve"> FORMTEXT </w:instrText>
            </w:r>
            <w:r w:rsidRPr="00AB38C8">
              <w:rPr>
                <w:sz w:val="20"/>
                <w:highlight w:val="lightGray"/>
              </w:rPr>
            </w:r>
            <w:r w:rsidRPr="00AB38C8">
              <w:rPr>
                <w:sz w:val="20"/>
                <w:highlight w:val="lightGray"/>
              </w:rPr>
              <w:fldChar w:fldCharType="separate"/>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rFonts w:ascii="Cambria Math" w:hAnsi="Cambria Math"/>
                <w:sz w:val="20"/>
                <w:highlight w:val="lightGray"/>
              </w:rPr>
              <w:t> </w:t>
            </w:r>
            <w:r w:rsidRPr="00AB38C8">
              <w:rPr>
                <w:sz w:val="20"/>
                <w:highlight w:val="lightGray"/>
              </w:rPr>
              <w:fldChar w:fldCharType="end"/>
            </w:r>
          </w:p>
        </w:tc>
        <w:tc>
          <w:tcPr>
            <w:tcW w:w="4662" w:type="dxa"/>
            <w:vMerge/>
          </w:tcPr>
          <w:p w14:paraId="79AB65A2" w14:textId="77777777" w:rsidR="00566F16" w:rsidRPr="00AB38C8" w:rsidRDefault="00566F16" w:rsidP="00741277">
            <w:pPr>
              <w:jc w:val="both"/>
              <w:rPr>
                <w:szCs w:val="24"/>
              </w:rPr>
            </w:pPr>
          </w:p>
        </w:tc>
      </w:tr>
    </w:tbl>
    <w:p w14:paraId="6D5DD636" w14:textId="77777777" w:rsidR="00566F16" w:rsidRPr="00AB38C8" w:rsidRDefault="00566F16" w:rsidP="00566F16">
      <w:pPr>
        <w:jc w:val="both"/>
        <w:rPr>
          <w:color w:val="FF0000"/>
          <w:szCs w:val="24"/>
        </w:rPr>
      </w:pPr>
    </w:p>
    <w:p w14:paraId="43EFC543" w14:textId="77777777" w:rsidR="00566F16" w:rsidRPr="00AB38C8" w:rsidRDefault="00566F16" w:rsidP="00566F16">
      <w:pPr>
        <w:jc w:val="both"/>
        <w:rPr>
          <w:szCs w:val="24"/>
        </w:rPr>
      </w:pPr>
    </w:p>
    <w:p w14:paraId="606F67B1" w14:textId="77777777" w:rsidR="00566F16" w:rsidRPr="00AB38C8" w:rsidRDefault="00566F16" w:rsidP="00566F16">
      <w:pPr>
        <w:ind w:left="720"/>
        <w:jc w:val="both"/>
        <w:rPr>
          <w:szCs w:val="24"/>
        </w:rPr>
      </w:pPr>
      <w:r w:rsidRPr="00AB38C8">
        <w:rPr>
          <w:szCs w:val="24"/>
        </w:rPr>
        <w:t>In the subject line of the email used to transm</w:t>
      </w:r>
      <w:r w:rsidRPr="00A608E0">
        <w:rPr>
          <w:szCs w:val="24"/>
        </w:rPr>
        <w:t xml:space="preserve">it the Registration Request, please indicate: GOAL Pre-Application Registration Request.  Once the Pre-Applicant has been successfully registered in the system, AHFC will send </w:t>
      </w:r>
      <w:r w:rsidRPr="00AB38C8">
        <w:rPr>
          <w:szCs w:val="24"/>
        </w:rPr>
        <w:t xml:space="preserve">a confirmation email to the Pre-Applicant.  </w:t>
      </w:r>
    </w:p>
    <w:p w14:paraId="2CE9CEAA" w14:textId="77777777" w:rsidR="00566F16" w:rsidRPr="00AB38C8" w:rsidRDefault="00566F16" w:rsidP="00566F16">
      <w:pPr>
        <w:ind w:left="720"/>
        <w:jc w:val="both"/>
        <w:rPr>
          <w:szCs w:val="24"/>
        </w:rPr>
      </w:pPr>
    </w:p>
    <w:p w14:paraId="20AA0FAD" w14:textId="7A642C2A" w:rsidR="00566F16" w:rsidRPr="00AB38C8" w:rsidRDefault="00566F16" w:rsidP="00566F16">
      <w:pPr>
        <w:ind w:left="720"/>
        <w:jc w:val="both"/>
        <w:rPr>
          <w:szCs w:val="24"/>
        </w:rPr>
      </w:pPr>
      <w:r w:rsidRPr="00AB38C8">
        <w:rPr>
          <w:szCs w:val="24"/>
          <w:u w:val="single"/>
        </w:rPr>
        <w:t>Step (2)</w:t>
      </w:r>
      <w:r w:rsidRPr="00AB38C8">
        <w:rPr>
          <w:szCs w:val="24"/>
        </w:rPr>
        <w:t xml:space="preserve"> – Submission of Pre-Application</w:t>
      </w:r>
      <w:r w:rsidRPr="00A608E0">
        <w:rPr>
          <w:szCs w:val="24"/>
        </w:rPr>
        <w:t xml:space="preserve"> through </w:t>
      </w:r>
      <w:r w:rsidR="00C85BD0">
        <w:rPr>
          <w:szCs w:val="24"/>
        </w:rPr>
        <w:t xml:space="preserve">the </w:t>
      </w:r>
      <w:r w:rsidRPr="00A608E0">
        <w:rPr>
          <w:szCs w:val="24"/>
        </w:rPr>
        <w:t>online system</w:t>
      </w:r>
    </w:p>
    <w:p w14:paraId="37281100" w14:textId="77777777" w:rsidR="00566F16" w:rsidRPr="00AB38C8" w:rsidRDefault="00566F16" w:rsidP="00566F16">
      <w:pPr>
        <w:ind w:left="720"/>
        <w:jc w:val="both"/>
        <w:rPr>
          <w:szCs w:val="24"/>
        </w:rPr>
      </w:pPr>
    </w:p>
    <w:p w14:paraId="17210CD6" w14:textId="137521F4" w:rsidR="00566F16" w:rsidRPr="00AB38C8" w:rsidRDefault="00566F16" w:rsidP="00566F16">
      <w:pPr>
        <w:ind w:left="720"/>
        <w:jc w:val="both"/>
        <w:rPr>
          <w:szCs w:val="24"/>
        </w:rPr>
      </w:pPr>
      <w:r w:rsidRPr="00AB38C8">
        <w:rPr>
          <w:szCs w:val="24"/>
        </w:rPr>
        <w:t xml:space="preserve">On </w:t>
      </w:r>
      <w:r>
        <w:rPr>
          <w:szCs w:val="24"/>
        </w:rPr>
        <w:t>or abo</w:t>
      </w:r>
      <w:r w:rsidRPr="00A608E0">
        <w:rPr>
          <w:szCs w:val="24"/>
        </w:rPr>
        <w:t>ut July 2</w:t>
      </w:r>
      <w:r w:rsidR="00C85BD0">
        <w:rPr>
          <w:szCs w:val="24"/>
        </w:rPr>
        <w:t>0</w:t>
      </w:r>
      <w:r w:rsidRPr="00A608E0">
        <w:rPr>
          <w:szCs w:val="24"/>
        </w:rPr>
        <w:t>, 202</w:t>
      </w:r>
      <w:r w:rsidR="00C85BD0">
        <w:rPr>
          <w:szCs w:val="24"/>
        </w:rPr>
        <w:t>6</w:t>
      </w:r>
      <w:r w:rsidRPr="00A608E0">
        <w:rPr>
          <w:szCs w:val="24"/>
        </w:rPr>
        <w:t>, all registered Pre-Applicants will receive a formal invitation to submit their Pre-Applications through the online system.   The formal invitation will be extended via email to the person listed in the Registration Request as the “user.”  The formal invitation email will include a hyperlink to the online application system and will include instructions for the initial log-in to the application system.</w:t>
      </w:r>
    </w:p>
    <w:p w14:paraId="69F62D6E" w14:textId="77777777" w:rsidR="00566F16" w:rsidRPr="00AB38C8" w:rsidRDefault="00566F16" w:rsidP="00566F16">
      <w:pPr>
        <w:ind w:left="720"/>
        <w:jc w:val="both"/>
        <w:rPr>
          <w:szCs w:val="24"/>
        </w:rPr>
      </w:pPr>
    </w:p>
    <w:p w14:paraId="2439BDF0" w14:textId="0A1F96B2" w:rsidR="00566F16" w:rsidRPr="000869B7" w:rsidRDefault="00566F16" w:rsidP="00566F16">
      <w:pPr>
        <w:ind w:left="720"/>
        <w:jc w:val="both"/>
        <w:rPr>
          <w:color w:val="FF0000"/>
          <w:szCs w:val="24"/>
        </w:rPr>
      </w:pPr>
      <w:r w:rsidRPr="00AB38C8">
        <w:rPr>
          <w:szCs w:val="24"/>
        </w:rPr>
        <w:t>All registered Pre-Applicants will have until</w:t>
      </w:r>
      <w:r w:rsidRPr="00A608E0">
        <w:rPr>
          <w:szCs w:val="24"/>
        </w:rPr>
        <w:t xml:space="preserve"> 4:30 p.m. (Alaska time) on July </w:t>
      </w:r>
      <w:r w:rsidR="00C85BD0">
        <w:rPr>
          <w:szCs w:val="24"/>
        </w:rPr>
        <w:t>30</w:t>
      </w:r>
      <w:r w:rsidRPr="00A608E0">
        <w:rPr>
          <w:szCs w:val="24"/>
        </w:rPr>
        <w:t>, 202</w:t>
      </w:r>
      <w:r w:rsidR="00C85BD0">
        <w:rPr>
          <w:szCs w:val="24"/>
        </w:rPr>
        <w:t>6</w:t>
      </w:r>
      <w:r w:rsidRPr="00A608E0">
        <w:rPr>
          <w:szCs w:val="24"/>
        </w:rPr>
        <w:t xml:space="preserve"> to submit their completed Pre-Application materials through the online system. </w:t>
      </w:r>
    </w:p>
    <w:p w14:paraId="56386605" w14:textId="77777777" w:rsidR="00566F16" w:rsidRPr="00AB38C8" w:rsidRDefault="00566F16" w:rsidP="00566F16">
      <w:pPr>
        <w:ind w:left="720"/>
        <w:jc w:val="both"/>
        <w:rPr>
          <w:szCs w:val="24"/>
        </w:rPr>
      </w:pPr>
    </w:p>
    <w:p w14:paraId="4CAEB2BF" w14:textId="77777777" w:rsidR="00566F16" w:rsidRPr="00AB38C8" w:rsidRDefault="00566F16" w:rsidP="00566F16">
      <w:pPr>
        <w:ind w:left="720"/>
        <w:jc w:val="both"/>
        <w:rPr>
          <w:sz w:val="28"/>
          <w:szCs w:val="28"/>
        </w:rPr>
      </w:pPr>
      <w:r w:rsidRPr="00AB38C8">
        <w:rPr>
          <w:b/>
          <w:sz w:val="28"/>
          <w:szCs w:val="28"/>
        </w:rPr>
        <w:t>Pre-Application Deadlines</w:t>
      </w:r>
    </w:p>
    <w:p w14:paraId="650C1690" w14:textId="77777777" w:rsidR="00566F16" w:rsidRPr="00AB38C8" w:rsidRDefault="00566F16" w:rsidP="00566F16">
      <w:pPr>
        <w:ind w:left="720"/>
        <w:jc w:val="both"/>
        <w:rPr>
          <w:szCs w:val="24"/>
        </w:rPr>
      </w:pPr>
    </w:p>
    <w:p w14:paraId="1BCA6F9A" w14:textId="07E08D2C" w:rsidR="00566F16" w:rsidRPr="00AB38C8" w:rsidRDefault="00566F16" w:rsidP="00566F16">
      <w:pPr>
        <w:ind w:left="720"/>
        <w:jc w:val="both"/>
        <w:rPr>
          <w:szCs w:val="24"/>
        </w:rPr>
      </w:pPr>
      <w:r w:rsidRPr="00AB38C8">
        <w:rPr>
          <w:szCs w:val="24"/>
        </w:rPr>
        <w:t>The deadline to submit a Registration Request to A</w:t>
      </w:r>
      <w:r w:rsidRPr="00A608E0">
        <w:rPr>
          <w:szCs w:val="24"/>
        </w:rPr>
        <w:t xml:space="preserve">HFC for access to the online application system is 4:30 p.m. (Alaska time) on July </w:t>
      </w:r>
      <w:r w:rsidR="00B306D2">
        <w:rPr>
          <w:szCs w:val="24"/>
        </w:rPr>
        <w:t>24</w:t>
      </w:r>
      <w:r w:rsidRPr="00A608E0">
        <w:rPr>
          <w:szCs w:val="24"/>
        </w:rPr>
        <w:t>, 202</w:t>
      </w:r>
      <w:r w:rsidR="00C85BD0">
        <w:rPr>
          <w:szCs w:val="24"/>
        </w:rPr>
        <w:t>6</w:t>
      </w:r>
      <w:r w:rsidRPr="00A608E0">
        <w:rPr>
          <w:szCs w:val="24"/>
        </w:rPr>
        <w:t>.</w:t>
      </w:r>
    </w:p>
    <w:p w14:paraId="40281FE4" w14:textId="77777777" w:rsidR="00566F16" w:rsidRPr="00AB38C8" w:rsidRDefault="00566F16" w:rsidP="00566F16">
      <w:pPr>
        <w:ind w:left="720"/>
        <w:jc w:val="both"/>
        <w:rPr>
          <w:szCs w:val="24"/>
        </w:rPr>
      </w:pPr>
    </w:p>
    <w:p w14:paraId="5E5C4977" w14:textId="1CEE07BE" w:rsidR="00566F16" w:rsidRPr="000869B7" w:rsidRDefault="00566F16" w:rsidP="00566F16">
      <w:pPr>
        <w:ind w:left="720"/>
        <w:jc w:val="both"/>
        <w:rPr>
          <w:color w:val="FF0000"/>
          <w:szCs w:val="24"/>
        </w:rPr>
      </w:pPr>
      <w:r w:rsidRPr="00AB38C8">
        <w:rPr>
          <w:szCs w:val="24"/>
        </w:rPr>
        <w:t>The deadline to submit a completed Pre-Applica</w:t>
      </w:r>
      <w:r w:rsidRPr="00A608E0">
        <w:rPr>
          <w:szCs w:val="24"/>
        </w:rPr>
        <w:t xml:space="preserve">tion through the online application system is 4:30 p.m. (Alaska time) on July </w:t>
      </w:r>
      <w:r w:rsidR="00C85BD0">
        <w:rPr>
          <w:szCs w:val="24"/>
        </w:rPr>
        <w:t>30</w:t>
      </w:r>
      <w:r w:rsidRPr="00A608E0">
        <w:rPr>
          <w:szCs w:val="24"/>
        </w:rPr>
        <w:t>, 202</w:t>
      </w:r>
      <w:r w:rsidR="00C85BD0">
        <w:rPr>
          <w:szCs w:val="24"/>
        </w:rPr>
        <w:t>6</w:t>
      </w:r>
      <w:r w:rsidRPr="00A608E0">
        <w:rPr>
          <w:szCs w:val="24"/>
        </w:rPr>
        <w:t xml:space="preserve">. </w:t>
      </w:r>
    </w:p>
    <w:p w14:paraId="157B39B1" w14:textId="77777777" w:rsidR="00566F16" w:rsidRPr="00AB38C8" w:rsidRDefault="00566F16" w:rsidP="00566F16">
      <w:pPr>
        <w:ind w:left="720"/>
        <w:jc w:val="both"/>
        <w:rPr>
          <w:szCs w:val="24"/>
        </w:rPr>
      </w:pPr>
    </w:p>
    <w:p w14:paraId="3360FE83" w14:textId="0A8759C4" w:rsidR="00566F16" w:rsidRPr="00AB38C8" w:rsidRDefault="00566F16" w:rsidP="00566F16">
      <w:pPr>
        <w:ind w:left="720"/>
        <w:rPr>
          <w:sz w:val="28"/>
          <w:szCs w:val="28"/>
        </w:rPr>
      </w:pPr>
      <w:r w:rsidRPr="00AB38C8">
        <w:rPr>
          <w:b/>
          <w:sz w:val="28"/>
          <w:szCs w:val="28"/>
        </w:rPr>
        <w:t>Intention to Complete and Submit an FY 20</w:t>
      </w:r>
      <w:r>
        <w:rPr>
          <w:b/>
          <w:sz w:val="28"/>
          <w:szCs w:val="28"/>
        </w:rPr>
        <w:t>2</w:t>
      </w:r>
      <w:r w:rsidR="00C85BD0">
        <w:rPr>
          <w:b/>
          <w:sz w:val="28"/>
          <w:szCs w:val="28"/>
        </w:rPr>
        <w:t>7</w:t>
      </w:r>
      <w:r w:rsidRPr="00AB38C8">
        <w:rPr>
          <w:b/>
          <w:sz w:val="28"/>
          <w:szCs w:val="28"/>
        </w:rPr>
        <w:t xml:space="preserve"> GOAL Application in the Fall of 20</w:t>
      </w:r>
      <w:r>
        <w:rPr>
          <w:b/>
          <w:sz w:val="28"/>
          <w:szCs w:val="28"/>
        </w:rPr>
        <w:t>2</w:t>
      </w:r>
      <w:r w:rsidR="00C85BD0">
        <w:rPr>
          <w:b/>
          <w:sz w:val="28"/>
          <w:szCs w:val="28"/>
        </w:rPr>
        <w:t>6</w:t>
      </w:r>
    </w:p>
    <w:p w14:paraId="2B10BECF" w14:textId="77777777" w:rsidR="00566F16" w:rsidRPr="00AB38C8" w:rsidRDefault="00566F16" w:rsidP="00566F16">
      <w:pPr>
        <w:ind w:left="720"/>
        <w:rPr>
          <w:szCs w:val="24"/>
        </w:rPr>
      </w:pPr>
    </w:p>
    <w:p w14:paraId="3C74CF29" w14:textId="518D36C7" w:rsidR="00566F16" w:rsidRDefault="00566F16" w:rsidP="00566F16">
      <w:pPr>
        <w:ind w:left="720"/>
        <w:jc w:val="both"/>
        <w:rPr>
          <w:szCs w:val="24"/>
        </w:rPr>
      </w:pPr>
      <w:r w:rsidRPr="00AB38C8">
        <w:rPr>
          <w:szCs w:val="24"/>
          <w:u w:val="single"/>
        </w:rPr>
        <w:t>If you are not planning to complete and submit a GOAL application, do not complete the Preliminary Application.</w:t>
      </w:r>
      <w:r w:rsidRPr="00AB38C8">
        <w:rPr>
          <w:szCs w:val="24"/>
        </w:rPr>
        <w:t xml:space="preserve">  By completing this </w:t>
      </w:r>
      <w:r>
        <w:rPr>
          <w:szCs w:val="24"/>
        </w:rPr>
        <w:t>S</w:t>
      </w:r>
      <w:r w:rsidRPr="00AB38C8">
        <w:rPr>
          <w:szCs w:val="24"/>
        </w:rPr>
        <w:t>FY 20</w:t>
      </w:r>
      <w:r>
        <w:rPr>
          <w:szCs w:val="24"/>
        </w:rPr>
        <w:t>2</w:t>
      </w:r>
      <w:r w:rsidR="00C85BD0">
        <w:rPr>
          <w:szCs w:val="24"/>
        </w:rPr>
        <w:t>7</w:t>
      </w:r>
      <w:r w:rsidRPr="00AB38C8">
        <w:rPr>
          <w:szCs w:val="24"/>
        </w:rPr>
        <w:t xml:space="preserve"> Preliminary GOAL Application, applicants are certifying to AHFC that they intend to apply for funding in the Fall 20</w:t>
      </w:r>
      <w:r>
        <w:rPr>
          <w:szCs w:val="24"/>
        </w:rPr>
        <w:t>2</w:t>
      </w:r>
      <w:r w:rsidR="00C85BD0">
        <w:rPr>
          <w:szCs w:val="24"/>
        </w:rPr>
        <w:t>6</w:t>
      </w:r>
      <w:r w:rsidRPr="00AB38C8">
        <w:rPr>
          <w:szCs w:val="24"/>
        </w:rPr>
        <w:t xml:space="preserve"> competition for </w:t>
      </w:r>
      <w:r>
        <w:rPr>
          <w:szCs w:val="24"/>
        </w:rPr>
        <w:t>S</w:t>
      </w:r>
      <w:r w:rsidRPr="00AB38C8">
        <w:rPr>
          <w:szCs w:val="24"/>
        </w:rPr>
        <w:t>FY 20</w:t>
      </w:r>
      <w:r>
        <w:rPr>
          <w:szCs w:val="24"/>
        </w:rPr>
        <w:t>2</w:t>
      </w:r>
      <w:r w:rsidR="00C85BD0">
        <w:rPr>
          <w:szCs w:val="24"/>
        </w:rPr>
        <w:t>7</w:t>
      </w:r>
      <w:r w:rsidRPr="00AB38C8">
        <w:rPr>
          <w:szCs w:val="24"/>
        </w:rPr>
        <w:t xml:space="preserve"> GOAL funds.  </w:t>
      </w:r>
      <w:r w:rsidRPr="00AB38C8">
        <w:rPr>
          <w:b/>
          <w:i/>
          <w:szCs w:val="24"/>
        </w:rPr>
        <w:t xml:space="preserve"> </w:t>
      </w:r>
      <w:r w:rsidRPr="00AB38C8">
        <w:rPr>
          <w:szCs w:val="24"/>
        </w:rPr>
        <w:t>The preliminary applications may provide the basis for AHFC ordering market studies for the proposed projects.  Market studies are expensive, and should only be ordered for projects that will be in a position to participate in the Fall 20</w:t>
      </w:r>
      <w:r>
        <w:rPr>
          <w:szCs w:val="24"/>
        </w:rPr>
        <w:t>2</w:t>
      </w:r>
      <w:r w:rsidR="00C85BD0">
        <w:rPr>
          <w:szCs w:val="24"/>
        </w:rPr>
        <w:t>6</w:t>
      </w:r>
      <w:r w:rsidRPr="00AB38C8">
        <w:rPr>
          <w:szCs w:val="24"/>
        </w:rPr>
        <w:t xml:space="preserve"> GOAL competition.  Potential applicants who are not familiar with the GOAL funding process are advised to review </w:t>
      </w:r>
      <w:r w:rsidR="00C85BD0">
        <w:rPr>
          <w:szCs w:val="24"/>
        </w:rPr>
        <w:t xml:space="preserve">the </w:t>
      </w:r>
      <w:r w:rsidRPr="00AB38C8">
        <w:rPr>
          <w:szCs w:val="24"/>
        </w:rPr>
        <w:t>application materials available at:</w:t>
      </w:r>
    </w:p>
    <w:p w14:paraId="683C2811" w14:textId="77777777" w:rsidR="00566F16" w:rsidRPr="00AB38C8" w:rsidRDefault="00B306D2" w:rsidP="00566F16">
      <w:pPr>
        <w:ind w:left="720"/>
        <w:jc w:val="both"/>
        <w:rPr>
          <w:b/>
          <w:color w:val="FF0000"/>
          <w:szCs w:val="24"/>
        </w:rPr>
      </w:pPr>
      <w:hyperlink r:id="rId14" w:history="1">
        <w:r w:rsidR="00566F16" w:rsidRPr="009D773A">
          <w:rPr>
            <w:rStyle w:val="Hyperlink"/>
          </w:rPr>
          <w:t>https://www.ahfc.us/pros/homelessness/development-grants/goal</w:t>
        </w:r>
      </w:hyperlink>
      <w:r w:rsidR="00566F16">
        <w:t xml:space="preserve"> </w:t>
      </w:r>
      <w:r w:rsidR="00566F16" w:rsidRPr="00AB38C8">
        <w:rPr>
          <w:color w:val="FF0000"/>
          <w:szCs w:val="24"/>
        </w:rPr>
        <w:tab/>
      </w:r>
    </w:p>
    <w:p w14:paraId="66D9FBA6" w14:textId="77777777" w:rsidR="00566F16" w:rsidRPr="00AB38C8" w:rsidRDefault="00566F16" w:rsidP="00566F16">
      <w:pPr>
        <w:rPr>
          <w:b/>
          <w:color w:val="FF0000"/>
          <w:szCs w:val="24"/>
        </w:rPr>
      </w:pPr>
    </w:p>
    <w:p w14:paraId="53980996" w14:textId="4547FF1C" w:rsidR="00566F16" w:rsidRPr="00AB38C8" w:rsidRDefault="00566F16" w:rsidP="00566F16">
      <w:pPr>
        <w:ind w:left="720"/>
        <w:jc w:val="both"/>
        <w:rPr>
          <w:szCs w:val="24"/>
        </w:rPr>
      </w:pPr>
      <w:r w:rsidRPr="00AB38C8">
        <w:rPr>
          <w:szCs w:val="24"/>
        </w:rPr>
        <w:t>Project sponsors should seriously assess whether staff resources and organizational capacity will be availabl</w:t>
      </w:r>
      <w:r w:rsidRPr="00A608E0">
        <w:rPr>
          <w:szCs w:val="24"/>
        </w:rPr>
        <w:t xml:space="preserve">e to complete a GOAL application by the anticipated due date of </w:t>
      </w:r>
      <w:r w:rsidR="00C85BD0">
        <w:rPr>
          <w:szCs w:val="24"/>
        </w:rPr>
        <w:t>December</w:t>
      </w:r>
      <w:r w:rsidRPr="00A608E0">
        <w:rPr>
          <w:szCs w:val="24"/>
        </w:rPr>
        <w:t xml:space="preserve"> </w:t>
      </w:r>
      <w:r w:rsidR="00C85BD0">
        <w:rPr>
          <w:szCs w:val="24"/>
        </w:rPr>
        <w:t>1</w:t>
      </w:r>
      <w:r w:rsidRPr="00A608E0">
        <w:rPr>
          <w:szCs w:val="24"/>
        </w:rPr>
        <w:t>1, 202</w:t>
      </w:r>
      <w:r w:rsidR="00C85BD0">
        <w:rPr>
          <w:szCs w:val="24"/>
        </w:rPr>
        <w:t>6</w:t>
      </w:r>
      <w:r w:rsidRPr="00A608E0">
        <w:rPr>
          <w:szCs w:val="24"/>
        </w:rPr>
        <w:t xml:space="preserve">.  AHFC </w:t>
      </w:r>
      <w:r w:rsidRPr="00AB38C8">
        <w:rPr>
          <w:szCs w:val="24"/>
        </w:rPr>
        <w:t xml:space="preserve">reserves the right to determine which Preliminary Applications are sufficiently complete to order a market study.  </w:t>
      </w:r>
    </w:p>
    <w:p w14:paraId="0AB4AA1E" w14:textId="77777777" w:rsidR="00566F16" w:rsidRDefault="00566F16" w:rsidP="00566F16">
      <w:pPr>
        <w:ind w:left="720"/>
        <w:jc w:val="both"/>
        <w:rPr>
          <w:color w:val="FF0000"/>
          <w:szCs w:val="24"/>
        </w:rPr>
      </w:pPr>
    </w:p>
    <w:p w14:paraId="1FDC591F" w14:textId="4E1492BA" w:rsidR="00566F16" w:rsidRPr="00AB38C8" w:rsidRDefault="00566F16" w:rsidP="00566F16">
      <w:pPr>
        <w:rPr>
          <w:b/>
          <w:sz w:val="20"/>
        </w:rPr>
      </w:pPr>
      <w:r w:rsidRPr="00AB38C8">
        <w:rPr>
          <w:b/>
          <w:szCs w:val="24"/>
        </w:rPr>
        <w:tab/>
      </w:r>
      <w:r w:rsidRPr="00AB38C8">
        <w:rPr>
          <w:b/>
          <w:sz w:val="28"/>
          <w:szCs w:val="28"/>
        </w:rPr>
        <w:t>Preliminary Application Teleconference</w:t>
      </w:r>
      <w:r w:rsidRPr="00AB38C8">
        <w:rPr>
          <w:b/>
          <w:sz w:val="28"/>
          <w:szCs w:val="28"/>
        </w:rPr>
        <w:tab/>
      </w:r>
    </w:p>
    <w:p w14:paraId="0295031B" w14:textId="77777777" w:rsidR="008D4E25" w:rsidRDefault="00566F16" w:rsidP="00C85BD0">
      <w:pPr>
        <w:spacing w:before="100" w:beforeAutospacing="1" w:after="225" w:line="270" w:lineRule="atLeast"/>
        <w:ind w:left="720"/>
        <w:jc w:val="both"/>
        <w:rPr>
          <w:szCs w:val="24"/>
        </w:rPr>
      </w:pPr>
      <w:bookmarkStart w:id="10" w:name="_Hlk233192885"/>
      <w:r w:rsidRPr="00656057">
        <w:rPr>
          <w:szCs w:val="24"/>
        </w:rPr>
        <w:t>AHFC will</w:t>
      </w:r>
      <w:r w:rsidRPr="00A608E0">
        <w:rPr>
          <w:szCs w:val="24"/>
        </w:rPr>
        <w:t xml:space="preserve"> host</w:t>
      </w:r>
      <w:r w:rsidR="00A81299">
        <w:rPr>
          <w:szCs w:val="24"/>
        </w:rPr>
        <w:t xml:space="preserve"> a</w:t>
      </w:r>
      <w:r w:rsidRPr="00A608E0">
        <w:rPr>
          <w:szCs w:val="24"/>
        </w:rPr>
        <w:t xml:space="preserve"> pre-application teleconference at </w:t>
      </w:r>
      <w:r w:rsidR="00A81299">
        <w:rPr>
          <w:szCs w:val="24"/>
        </w:rPr>
        <w:t>4</w:t>
      </w:r>
      <w:r w:rsidRPr="00A608E0">
        <w:rPr>
          <w:szCs w:val="24"/>
        </w:rPr>
        <w:t>:</w:t>
      </w:r>
      <w:r w:rsidR="00A81299">
        <w:rPr>
          <w:szCs w:val="24"/>
        </w:rPr>
        <w:t>0</w:t>
      </w:r>
      <w:r w:rsidRPr="00A608E0">
        <w:rPr>
          <w:szCs w:val="24"/>
        </w:rPr>
        <w:t>0 p.m. on,</w:t>
      </w:r>
      <w:r w:rsidRPr="00A608E0">
        <w:rPr>
          <w:rStyle w:val="Strong"/>
          <w:szCs w:val="24"/>
        </w:rPr>
        <w:t xml:space="preserve"> </w:t>
      </w:r>
      <w:r w:rsidRPr="00A608E0">
        <w:rPr>
          <w:rStyle w:val="Strong"/>
          <w:b w:val="0"/>
          <w:bCs w:val="0"/>
          <w:szCs w:val="24"/>
        </w:rPr>
        <w:t xml:space="preserve">July </w:t>
      </w:r>
      <w:r w:rsidR="00A81299">
        <w:rPr>
          <w:rStyle w:val="Strong"/>
          <w:b w:val="0"/>
          <w:bCs w:val="0"/>
          <w:szCs w:val="24"/>
        </w:rPr>
        <w:t>14</w:t>
      </w:r>
      <w:r w:rsidRPr="00A608E0">
        <w:rPr>
          <w:rStyle w:val="Strong"/>
          <w:b w:val="0"/>
          <w:bCs w:val="0"/>
          <w:szCs w:val="24"/>
        </w:rPr>
        <w:t>, 202</w:t>
      </w:r>
      <w:r w:rsidR="00A81299">
        <w:rPr>
          <w:rStyle w:val="Strong"/>
          <w:b w:val="0"/>
          <w:bCs w:val="0"/>
          <w:szCs w:val="24"/>
        </w:rPr>
        <w:t>6</w:t>
      </w:r>
      <w:r w:rsidRPr="00A608E0">
        <w:rPr>
          <w:b/>
          <w:bCs/>
          <w:szCs w:val="24"/>
        </w:rPr>
        <w:t>.</w:t>
      </w:r>
      <w:r w:rsidR="008D4E25">
        <w:rPr>
          <w:b/>
          <w:bCs/>
          <w:szCs w:val="24"/>
        </w:rPr>
        <w:t xml:space="preserve">  </w:t>
      </w:r>
      <w:r w:rsidR="008D4E25">
        <w:rPr>
          <w:szCs w:val="24"/>
        </w:rPr>
        <w:t xml:space="preserve">Interested parties may attend in person </w:t>
      </w:r>
      <w:r>
        <w:rPr>
          <w:szCs w:val="24"/>
        </w:rPr>
        <w:t>at AHFC</w:t>
      </w:r>
      <w:r w:rsidR="008D4E25">
        <w:rPr>
          <w:szCs w:val="24"/>
        </w:rPr>
        <w:t>’s</w:t>
      </w:r>
      <w:r>
        <w:rPr>
          <w:szCs w:val="24"/>
        </w:rPr>
        <w:t xml:space="preserve"> Headquarters</w:t>
      </w:r>
      <w:r w:rsidR="008D4E25">
        <w:rPr>
          <w:szCs w:val="24"/>
        </w:rPr>
        <w:t>,</w:t>
      </w:r>
      <w:r>
        <w:rPr>
          <w:szCs w:val="24"/>
        </w:rPr>
        <w:t xml:space="preserve"> 4300 Boniface Parkway, Anchorage, AK 99504</w:t>
      </w:r>
      <w:r w:rsidR="008D4E25">
        <w:rPr>
          <w:szCs w:val="24"/>
        </w:rPr>
        <w:t xml:space="preserve">, </w:t>
      </w:r>
    </w:p>
    <w:p w14:paraId="6B494B27" w14:textId="1945F5D0" w:rsidR="00566F16" w:rsidRDefault="008D4E25" w:rsidP="00C85BD0">
      <w:pPr>
        <w:spacing w:before="100" w:beforeAutospacing="1" w:after="225" w:line="270" w:lineRule="atLeast"/>
        <w:ind w:left="720"/>
        <w:jc w:val="both"/>
        <w:rPr>
          <w:rFonts w:ascii="Arial" w:hAnsi="Arial" w:cs="Arial"/>
          <w:color w:val="000000"/>
          <w:sz w:val="21"/>
          <w:szCs w:val="21"/>
        </w:rPr>
      </w:pPr>
      <w:r>
        <w:rPr>
          <w:szCs w:val="24"/>
        </w:rPr>
        <w:t xml:space="preserve">Call in, toll free, at </w:t>
      </w:r>
      <w:r w:rsidR="00566F16" w:rsidRPr="00A86800">
        <w:rPr>
          <w:szCs w:val="24"/>
        </w:rPr>
        <w:t>1-877-668-4493</w:t>
      </w:r>
      <w:r>
        <w:rPr>
          <w:szCs w:val="24"/>
        </w:rPr>
        <w:t xml:space="preserve">. </w:t>
      </w:r>
      <w:r w:rsidR="00566F16" w:rsidRPr="00A86800">
        <w:rPr>
          <w:szCs w:val="24"/>
        </w:rPr>
        <w:t xml:space="preserve">When prompted, please enter </w:t>
      </w:r>
      <w:r w:rsidR="00A81299">
        <w:rPr>
          <w:szCs w:val="24"/>
        </w:rPr>
        <w:t xml:space="preserve">the </w:t>
      </w:r>
      <w:r w:rsidR="00566F16" w:rsidRPr="00A86800">
        <w:rPr>
          <w:szCs w:val="24"/>
        </w:rPr>
        <w:t>access code</w:t>
      </w:r>
      <w:r w:rsidR="00A81299">
        <w:rPr>
          <w:szCs w:val="24"/>
        </w:rPr>
        <w:t xml:space="preserve">: </w:t>
      </w:r>
      <w:r w:rsidR="00A81299">
        <w:rPr>
          <w:rFonts w:ascii="Arial" w:hAnsi="Arial" w:cs="Arial"/>
          <w:color w:val="000000"/>
          <w:sz w:val="21"/>
          <w:szCs w:val="21"/>
        </w:rPr>
        <w:t>925 853 934</w:t>
      </w:r>
    </w:p>
    <w:p w14:paraId="2BF3F877" w14:textId="77777777" w:rsidR="008D4E25" w:rsidRPr="00A86800" w:rsidRDefault="008D4E25" w:rsidP="00566F16">
      <w:pPr>
        <w:spacing w:before="100" w:beforeAutospacing="1" w:after="225" w:line="270" w:lineRule="atLeast"/>
        <w:ind w:left="720"/>
      </w:pPr>
    </w:p>
    <w:p w14:paraId="071195C0" w14:textId="236551F3" w:rsidR="00566F16" w:rsidRDefault="008D4E25" w:rsidP="00566F16">
      <w:pPr>
        <w:spacing w:before="100" w:beforeAutospacing="1" w:after="225" w:line="270" w:lineRule="atLeast"/>
        <w:ind w:left="720"/>
        <w:rPr>
          <w:szCs w:val="24"/>
        </w:rPr>
      </w:pPr>
      <w:r>
        <w:rPr>
          <w:szCs w:val="24"/>
        </w:rPr>
        <w:lastRenderedPageBreak/>
        <w:t>Or by Webex. co</w:t>
      </w:r>
      <w:r w:rsidR="00566F16">
        <w:rPr>
          <w:szCs w:val="24"/>
        </w:rPr>
        <w:t xml:space="preserve">ntact </w:t>
      </w:r>
      <w:hyperlink r:id="rId15" w:history="1">
        <w:r w:rsidR="00A81299" w:rsidRPr="00F247E7">
          <w:rPr>
            <w:rStyle w:val="Hyperlink"/>
            <w:szCs w:val="24"/>
          </w:rPr>
          <w:t>apetroni@ahfc.us</w:t>
        </w:r>
      </w:hyperlink>
      <w:r w:rsidR="00566F16">
        <w:rPr>
          <w:szCs w:val="24"/>
        </w:rPr>
        <w:t xml:space="preserve"> </w:t>
      </w:r>
      <w:r>
        <w:rPr>
          <w:szCs w:val="24"/>
        </w:rPr>
        <w:t xml:space="preserve">for a webex meeting invitation. </w:t>
      </w:r>
    </w:p>
    <w:p w14:paraId="48AA9F05" w14:textId="458CF1DA" w:rsidR="00566F16" w:rsidRPr="00457F1E" w:rsidRDefault="00566F16" w:rsidP="00566F16">
      <w:pPr>
        <w:spacing w:before="100" w:beforeAutospacing="1" w:after="225" w:line="270" w:lineRule="atLeast"/>
        <w:ind w:left="720"/>
        <w:rPr>
          <w:szCs w:val="24"/>
        </w:rPr>
      </w:pPr>
      <w:r w:rsidRPr="00457F1E">
        <w:rPr>
          <w:szCs w:val="24"/>
        </w:rPr>
        <w:t xml:space="preserve">If there are any questions regarding this teleconference or the </w:t>
      </w:r>
      <w:r w:rsidR="00C85BD0">
        <w:rPr>
          <w:szCs w:val="24"/>
        </w:rPr>
        <w:t>GOAL</w:t>
      </w:r>
      <w:r w:rsidRPr="00457F1E">
        <w:rPr>
          <w:szCs w:val="24"/>
        </w:rPr>
        <w:t xml:space="preserve"> program, please contact </w:t>
      </w:r>
      <w:r w:rsidR="00C85BD0">
        <w:rPr>
          <w:szCs w:val="24"/>
        </w:rPr>
        <w:t>the program manager</w:t>
      </w:r>
      <w:r w:rsidRPr="00457F1E">
        <w:rPr>
          <w:szCs w:val="24"/>
        </w:rPr>
        <w:t xml:space="preserve"> directly.</w:t>
      </w:r>
    </w:p>
    <w:p w14:paraId="54A36C77" w14:textId="2510B5AE" w:rsidR="00566F16" w:rsidRPr="00457F1E" w:rsidRDefault="00566F16" w:rsidP="008D4E25">
      <w:pPr>
        <w:spacing w:before="100" w:beforeAutospacing="1" w:after="225" w:line="270" w:lineRule="atLeast"/>
        <w:ind w:left="720"/>
        <w:jc w:val="both"/>
        <w:rPr>
          <w:szCs w:val="24"/>
        </w:rPr>
      </w:pPr>
      <w:r w:rsidRPr="00457F1E">
        <w:rPr>
          <w:szCs w:val="24"/>
        </w:rPr>
        <w:t xml:space="preserve">AHFC complies with Title II of the Americans with Disabilities Act of 1990 and the Rehabilitation Act of 1973. Individuals with disabilities who may need auxiliary aids or special modifications to participate in the public meeting should call </w:t>
      </w:r>
      <w:r>
        <w:rPr>
          <w:szCs w:val="24"/>
        </w:rPr>
        <w:t>Sarah Neuschwander</w:t>
      </w:r>
      <w:r w:rsidRPr="00457F1E">
        <w:rPr>
          <w:szCs w:val="24"/>
        </w:rPr>
        <w:t xml:space="preserve"> at 907-330-8</w:t>
      </w:r>
      <w:r w:rsidR="00A81299">
        <w:rPr>
          <w:szCs w:val="24"/>
        </w:rPr>
        <w:t>275</w:t>
      </w:r>
      <w:r w:rsidRPr="00457F1E">
        <w:rPr>
          <w:szCs w:val="24"/>
        </w:rPr>
        <w:t xml:space="preserve"> or email </w:t>
      </w:r>
      <w:hyperlink r:id="rId16" w:history="1">
        <w:r w:rsidR="00A81299" w:rsidRPr="00F247E7">
          <w:rPr>
            <w:rStyle w:val="Hyperlink"/>
            <w:szCs w:val="24"/>
          </w:rPr>
          <w:t>apetroni@ahfc.us</w:t>
        </w:r>
      </w:hyperlink>
      <w:r>
        <w:rPr>
          <w:szCs w:val="24"/>
        </w:rPr>
        <w:t xml:space="preserve">. </w:t>
      </w:r>
      <w:r w:rsidRPr="00457F1E">
        <w:rPr>
          <w:szCs w:val="24"/>
        </w:rPr>
        <w:t xml:space="preserve"> Requests for the hearing</w:t>
      </w:r>
      <w:r>
        <w:rPr>
          <w:szCs w:val="24"/>
        </w:rPr>
        <w:t xml:space="preserve"> should be made no later than</w:t>
      </w:r>
      <w:r w:rsidRPr="00A86800">
        <w:rPr>
          <w:szCs w:val="24"/>
        </w:rPr>
        <w:t xml:space="preserve"> July </w:t>
      </w:r>
      <w:r w:rsidR="00A81299">
        <w:rPr>
          <w:szCs w:val="24"/>
        </w:rPr>
        <w:t>1</w:t>
      </w:r>
      <w:r>
        <w:rPr>
          <w:szCs w:val="24"/>
        </w:rPr>
        <w:t>3</w:t>
      </w:r>
      <w:r w:rsidRPr="00A86800">
        <w:rPr>
          <w:szCs w:val="24"/>
        </w:rPr>
        <w:t>, 2025.</w:t>
      </w:r>
    </w:p>
    <w:bookmarkEnd w:id="10"/>
    <w:p w14:paraId="1C84EF6B" w14:textId="77777777" w:rsidR="00566F16" w:rsidRPr="008156E8" w:rsidRDefault="00566F16" w:rsidP="00566F16">
      <w:pPr>
        <w:ind w:left="720"/>
        <w:jc w:val="both"/>
        <w:rPr>
          <w:b/>
          <w:sz w:val="28"/>
          <w:szCs w:val="28"/>
        </w:rPr>
      </w:pPr>
      <w:r w:rsidRPr="008156E8">
        <w:rPr>
          <w:b/>
          <w:sz w:val="28"/>
          <w:szCs w:val="28"/>
        </w:rPr>
        <w:t>Market Study Process</w:t>
      </w:r>
    </w:p>
    <w:p w14:paraId="32E19BB6" w14:textId="77777777" w:rsidR="00566F16" w:rsidRPr="008156E8" w:rsidRDefault="00566F16" w:rsidP="00566F16">
      <w:pPr>
        <w:ind w:left="720"/>
        <w:rPr>
          <w:b/>
          <w:sz w:val="28"/>
          <w:szCs w:val="28"/>
        </w:rPr>
      </w:pPr>
    </w:p>
    <w:p w14:paraId="141F65AB" w14:textId="77777777" w:rsidR="00566F16" w:rsidRPr="008156E8" w:rsidRDefault="00566F16" w:rsidP="00566F16">
      <w:pPr>
        <w:ind w:left="720"/>
        <w:jc w:val="both"/>
        <w:rPr>
          <w:szCs w:val="24"/>
        </w:rPr>
      </w:pPr>
      <w:r w:rsidRPr="008156E8">
        <w:rPr>
          <w:b/>
          <w:szCs w:val="24"/>
        </w:rPr>
        <w:t>After the close of the preliminary application period</w:t>
      </w:r>
      <w:r w:rsidRPr="008156E8">
        <w:rPr>
          <w:szCs w:val="24"/>
        </w:rPr>
        <w:t xml:space="preserve">, AHFC will conduct a review of the submitted Pre-Applications to determine their completeness for purposes of ordering market studies.  If a market study is warranted, AHFC will then commission market studies for preliminary applications passing this threshold.  </w:t>
      </w:r>
      <w:r w:rsidRPr="008156E8">
        <w:rPr>
          <w:szCs w:val="24"/>
          <w:u w:val="single"/>
        </w:rPr>
        <w:t>Pre-applicants will be required to reimburse AHFC for the cost of the market study</w:t>
      </w:r>
      <w:r w:rsidRPr="008156E8">
        <w:rPr>
          <w:szCs w:val="24"/>
        </w:rPr>
        <w:t>.  Prior to commissioning the market studies, AHFC will provide applicants with an estimate for the costs associated with the market study via email to the address noted in the pre-application materials.  Applicants will have two calendar days from the date of the email transmission to withdraw their pre-application if they do not wish to reimburse AHFC for these costs.  Due to travel costs associated with some market studies, an exact figure may not be available.</w:t>
      </w:r>
    </w:p>
    <w:p w14:paraId="138C0EB7" w14:textId="77777777" w:rsidR="00566F16" w:rsidRPr="008156E8" w:rsidRDefault="00566F16" w:rsidP="00566F16">
      <w:pPr>
        <w:ind w:left="720"/>
        <w:jc w:val="both"/>
        <w:rPr>
          <w:szCs w:val="24"/>
        </w:rPr>
      </w:pPr>
    </w:p>
    <w:p w14:paraId="7F1D41CB" w14:textId="77777777" w:rsidR="00566F16" w:rsidRPr="008156E8" w:rsidRDefault="00566F16" w:rsidP="00566F16">
      <w:pPr>
        <w:ind w:left="720"/>
        <w:jc w:val="both"/>
        <w:rPr>
          <w:szCs w:val="24"/>
        </w:rPr>
      </w:pPr>
      <w:r w:rsidRPr="008156E8">
        <w:rPr>
          <w:szCs w:val="24"/>
        </w:rPr>
        <w:t>Invoices for the market study costs will be initially paid by AHFC.  AHFC will subsequently request reimbursement from the Pre-Applicants and provide them with the invoices.  All reimbursement payments must be received by AHFC no later than the final application date for the GOAL program.  If AHFC has not received full reimbursement for the market study costs by the application deadline, applications related to the unreimbursed market study costs will not be considered for GOAL program funding.</w:t>
      </w:r>
    </w:p>
    <w:p w14:paraId="2071F53F" w14:textId="77777777" w:rsidR="00566F16" w:rsidRPr="00AB38C8" w:rsidRDefault="00566F16" w:rsidP="00566F16">
      <w:pPr>
        <w:ind w:left="720"/>
        <w:jc w:val="both"/>
        <w:rPr>
          <w:color w:val="FF0000"/>
          <w:szCs w:val="24"/>
        </w:rPr>
      </w:pPr>
    </w:p>
    <w:p w14:paraId="4EDA25F6" w14:textId="77777777" w:rsidR="00566F16" w:rsidRPr="008156E8" w:rsidRDefault="00566F16" w:rsidP="00566F16">
      <w:pPr>
        <w:ind w:left="720"/>
        <w:jc w:val="both"/>
        <w:rPr>
          <w:szCs w:val="24"/>
        </w:rPr>
      </w:pPr>
      <w:r w:rsidRPr="008156E8">
        <w:rPr>
          <w:szCs w:val="24"/>
        </w:rPr>
        <w:t>During the market study process, the market study provider may make recommendations to optimize the proposed project in the primary market area.     These recommended changes will be given to the project sponsor.  The sponsor will be allowed to make changes based on market study recommendations.  Allowable changes will be limited to:</w:t>
      </w:r>
    </w:p>
    <w:p w14:paraId="21EF316D" w14:textId="77777777" w:rsidR="00566F16" w:rsidRPr="008156E8" w:rsidRDefault="00566F16" w:rsidP="00566F16">
      <w:pPr>
        <w:ind w:left="720"/>
        <w:rPr>
          <w:szCs w:val="24"/>
        </w:rPr>
      </w:pPr>
    </w:p>
    <w:p w14:paraId="7047DB04" w14:textId="77777777" w:rsidR="00566F16" w:rsidRPr="008156E8" w:rsidRDefault="00566F16" w:rsidP="00566F16">
      <w:pPr>
        <w:widowControl w:val="0"/>
        <w:numPr>
          <w:ilvl w:val="0"/>
          <w:numId w:val="16"/>
        </w:numPr>
        <w:rPr>
          <w:szCs w:val="24"/>
        </w:rPr>
      </w:pPr>
      <w:r w:rsidRPr="008156E8">
        <w:rPr>
          <w:szCs w:val="24"/>
        </w:rPr>
        <w:t>Income targeting</w:t>
      </w:r>
    </w:p>
    <w:p w14:paraId="0FAA200B" w14:textId="77777777" w:rsidR="00566F16" w:rsidRPr="008156E8" w:rsidRDefault="00566F16" w:rsidP="00566F16">
      <w:pPr>
        <w:widowControl w:val="0"/>
        <w:numPr>
          <w:ilvl w:val="0"/>
          <w:numId w:val="16"/>
        </w:numPr>
        <w:rPr>
          <w:szCs w:val="24"/>
        </w:rPr>
      </w:pPr>
      <w:r w:rsidRPr="008156E8">
        <w:rPr>
          <w:szCs w:val="24"/>
        </w:rPr>
        <w:t>Rents</w:t>
      </w:r>
    </w:p>
    <w:p w14:paraId="0C9BF594" w14:textId="77777777" w:rsidR="00566F16" w:rsidRPr="008156E8" w:rsidRDefault="00566F16" w:rsidP="00566F16">
      <w:pPr>
        <w:widowControl w:val="0"/>
        <w:numPr>
          <w:ilvl w:val="0"/>
          <w:numId w:val="16"/>
        </w:numPr>
        <w:rPr>
          <w:szCs w:val="24"/>
        </w:rPr>
      </w:pPr>
      <w:r w:rsidRPr="008156E8">
        <w:rPr>
          <w:szCs w:val="24"/>
        </w:rPr>
        <w:t>Bedroom mix</w:t>
      </w:r>
    </w:p>
    <w:p w14:paraId="5628EF5A" w14:textId="77777777" w:rsidR="00566F16" w:rsidRPr="008156E8" w:rsidRDefault="00566F16" w:rsidP="00566F16">
      <w:pPr>
        <w:widowControl w:val="0"/>
        <w:numPr>
          <w:ilvl w:val="0"/>
          <w:numId w:val="16"/>
        </w:numPr>
        <w:rPr>
          <w:szCs w:val="24"/>
        </w:rPr>
      </w:pPr>
      <w:r w:rsidRPr="008156E8">
        <w:rPr>
          <w:szCs w:val="24"/>
        </w:rPr>
        <w:t xml:space="preserve">Project size </w:t>
      </w:r>
    </w:p>
    <w:p w14:paraId="7B733F8F" w14:textId="77777777" w:rsidR="00566F16" w:rsidRPr="008156E8" w:rsidRDefault="00566F16" w:rsidP="00566F16">
      <w:pPr>
        <w:ind w:left="1080"/>
        <w:rPr>
          <w:szCs w:val="24"/>
        </w:rPr>
      </w:pPr>
    </w:p>
    <w:p w14:paraId="0F5A586C" w14:textId="36DCFE92" w:rsidR="00566F16" w:rsidRPr="008156E8" w:rsidRDefault="00566F16" w:rsidP="00566F16">
      <w:pPr>
        <w:ind w:left="720"/>
        <w:jc w:val="both"/>
        <w:rPr>
          <w:szCs w:val="24"/>
        </w:rPr>
      </w:pPr>
      <w:r w:rsidRPr="008156E8">
        <w:rPr>
          <w:szCs w:val="24"/>
        </w:rPr>
        <w:t>If the AHFC commissioned market study does not recommend any of the above allowable changes, the GOAL application submitted in the Fall 20</w:t>
      </w:r>
      <w:r>
        <w:rPr>
          <w:szCs w:val="24"/>
        </w:rPr>
        <w:t>2</w:t>
      </w:r>
      <w:r w:rsidR="00C85BD0">
        <w:rPr>
          <w:szCs w:val="24"/>
        </w:rPr>
        <w:t>6</w:t>
      </w:r>
      <w:r w:rsidRPr="008156E8">
        <w:rPr>
          <w:szCs w:val="24"/>
        </w:rPr>
        <w:t xml:space="preserve"> competition should reflect the project information contained in the preliminary application, unless otherwise approved in writing by AHFC.     </w:t>
      </w:r>
    </w:p>
    <w:p w14:paraId="17FEEA4C" w14:textId="77777777" w:rsidR="00566F16" w:rsidRPr="008156E8" w:rsidRDefault="00566F16" w:rsidP="00566F16">
      <w:pPr>
        <w:ind w:left="720"/>
      </w:pPr>
    </w:p>
    <w:p w14:paraId="296F2EE4" w14:textId="77777777" w:rsidR="00566F16" w:rsidRPr="008156E8" w:rsidRDefault="00566F16" w:rsidP="00566F16">
      <w:pPr>
        <w:ind w:left="720"/>
        <w:jc w:val="both"/>
      </w:pPr>
      <w:r w:rsidRPr="008156E8">
        <w:lastRenderedPageBreak/>
        <w:t xml:space="preserve">In certain circumstances, AHFC may require an update to the completed market study.  These updates will be done solely at AHFC’s discretion.      </w:t>
      </w:r>
    </w:p>
    <w:p w14:paraId="4DF67463" w14:textId="4C6FF90F" w:rsidR="004A1CCB" w:rsidRPr="00566F16" w:rsidRDefault="004A1CCB" w:rsidP="00566F16"/>
    <w:sectPr w:rsidR="004A1CCB" w:rsidRPr="00566F16" w:rsidSect="0099551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144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4707" w14:textId="77777777" w:rsidR="00E83F55" w:rsidRDefault="00E83F55" w:rsidP="00BF5FF9">
      <w:r>
        <w:separator/>
      </w:r>
    </w:p>
    <w:p w14:paraId="0AFBC0D2" w14:textId="77777777" w:rsidR="00E83F55" w:rsidRDefault="00E83F55" w:rsidP="00BF5FF9"/>
  </w:endnote>
  <w:endnote w:type="continuationSeparator" w:id="0">
    <w:p w14:paraId="462F624C" w14:textId="77777777" w:rsidR="00E83F55" w:rsidRDefault="00E83F55" w:rsidP="00BF5FF9">
      <w:r>
        <w:continuationSeparator/>
      </w:r>
    </w:p>
    <w:p w14:paraId="22DACC5C" w14:textId="77777777" w:rsidR="00E83F55" w:rsidRDefault="00E83F55"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AD08" w14:textId="77777777" w:rsidR="00566F16" w:rsidRDefault="00566F16" w:rsidP="00E16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8DB54" w14:textId="77777777" w:rsidR="00566F16" w:rsidRDefault="00566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C86A" w14:textId="77777777" w:rsidR="00566F16" w:rsidRDefault="00566F16" w:rsidP="00063266">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8EFF" w14:textId="77777777" w:rsidR="00FF48B6" w:rsidRDefault="00FF4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07339"/>
      <w:docPartObj>
        <w:docPartGallery w:val="Page Numbers (Bottom of Page)"/>
        <w:docPartUnique/>
      </w:docPartObj>
    </w:sdtPr>
    <w:sdtEndPr>
      <w:rPr>
        <w:rStyle w:val="PageNumbersChar"/>
        <w:rFonts w:ascii="Rockwell" w:hAnsi="Rockwell" w:cs="Arial"/>
        <w:b/>
        <w:bCs/>
        <w:color w:val="0063A8"/>
      </w:rPr>
    </w:sdtEndPr>
    <w:sdtContent>
      <w:p w14:paraId="5C176A25" w14:textId="77777777" w:rsidR="00C13857" w:rsidRPr="000476DE" w:rsidRDefault="00C13857" w:rsidP="00995516">
        <w:pPr>
          <w:pStyle w:val="Footer"/>
          <w:tabs>
            <w:tab w:val="clear" w:pos="9360"/>
            <w:tab w:val="right" w:pos="9180"/>
          </w:tabs>
          <w:ind w:right="270"/>
          <w:jc w:val="right"/>
          <w:rPr>
            <w:rStyle w:val="PageNumbersChar"/>
          </w:rPr>
        </w:pPr>
        <w:r w:rsidRPr="000476DE">
          <w:rPr>
            <w:rStyle w:val="PageNumbersChar"/>
          </w:rPr>
          <w:fldChar w:fldCharType="begin"/>
        </w:r>
        <w:r w:rsidRPr="000476DE">
          <w:rPr>
            <w:rStyle w:val="PageNumbersChar"/>
          </w:rPr>
          <w:instrText xml:space="preserve"> PAGE   \* MERGEFORMAT </w:instrText>
        </w:r>
        <w:r w:rsidRPr="000476DE">
          <w:rPr>
            <w:rStyle w:val="PageNumbersChar"/>
          </w:rPr>
          <w:fldChar w:fldCharType="separate"/>
        </w:r>
        <w:r w:rsidRPr="000476DE">
          <w:rPr>
            <w:rStyle w:val="PageNumbersChar"/>
          </w:rPr>
          <w:t>2</w:t>
        </w:r>
        <w:r w:rsidRPr="000476DE">
          <w:rPr>
            <w:rStyle w:val="PageNumbersChar"/>
          </w:rPr>
          <w:fldChar w:fldCharType="end"/>
        </w:r>
      </w:p>
    </w:sdtContent>
  </w:sdt>
  <w:p w14:paraId="09500375" w14:textId="77777777" w:rsidR="00F5529E" w:rsidRDefault="00F5529E" w:rsidP="00BF5FF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A949" w14:textId="77777777" w:rsidR="00FF48B6" w:rsidRDefault="00FF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53DC" w14:textId="77777777" w:rsidR="00E83F55" w:rsidRDefault="00E83F55" w:rsidP="00BF5FF9">
      <w:r>
        <w:separator/>
      </w:r>
    </w:p>
    <w:p w14:paraId="1E47F790" w14:textId="77777777" w:rsidR="00E83F55" w:rsidRDefault="00E83F55" w:rsidP="00BF5FF9"/>
  </w:footnote>
  <w:footnote w:type="continuationSeparator" w:id="0">
    <w:p w14:paraId="431536BB" w14:textId="77777777" w:rsidR="00E83F55" w:rsidRDefault="00E83F55" w:rsidP="00BF5FF9">
      <w:r>
        <w:continuationSeparator/>
      </w:r>
    </w:p>
    <w:p w14:paraId="1FE16C2B" w14:textId="77777777" w:rsidR="00E83F55" w:rsidRDefault="00E83F55"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1AEE" w14:textId="70BD92CC" w:rsidR="00C1694E" w:rsidRDefault="00C1694E">
    <w:pPr>
      <w:pStyle w:val="Header"/>
    </w:pPr>
    <w:r>
      <w:rPr>
        <w:noProof/>
      </w:rPr>
      <w:drawing>
        <wp:anchor distT="0" distB="0" distL="114300" distR="114300" simplePos="0" relativeHeight="251659776" behindDoc="1" locked="0" layoutInCell="1" allowOverlap="1" wp14:anchorId="33B58409" wp14:editId="0D354F05">
          <wp:simplePos x="0" y="0"/>
          <wp:positionH relativeFrom="page">
            <wp:posOffset>9525</wp:posOffset>
          </wp:positionH>
          <wp:positionV relativeFrom="paragraph">
            <wp:posOffset>-923925</wp:posOffset>
          </wp:positionV>
          <wp:extent cx="7762239" cy="100452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9"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B4A0" w14:textId="77777777" w:rsidR="00FF48B6" w:rsidRDefault="00FF4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9DDC" w14:textId="77777777" w:rsidR="00F5529E" w:rsidRDefault="00D12F99" w:rsidP="00BF5FF9">
    <w:pPr>
      <w:pStyle w:val="Header"/>
    </w:pPr>
    <w:r>
      <w:rPr>
        <w:noProof/>
      </w:rPr>
      <w:drawing>
        <wp:anchor distT="0" distB="0" distL="114300" distR="114300" simplePos="0" relativeHeight="251657728" behindDoc="1" locked="0" layoutInCell="1" allowOverlap="1" wp14:anchorId="7B50377B" wp14:editId="4F6D585A">
          <wp:simplePos x="0" y="0"/>
          <wp:positionH relativeFrom="page">
            <wp:align>right</wp:align>
          </wp:positionH>
          <wp:positionV relativeFrom="paragraph">
            <wp:posOffset>-927735</wp:posOffset>
          </wp:positionV>
          <wp:extent cx="7772399" cy="10058398"/>
          <wp:effectExtent l="0" t="0" r="635" b="635"/>
          <wp:wrapNone/>
          <wp:docPr id="1903030386" name="Picture 190303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34C" w14:textId="13B420CC" w:rsidR="00D12F99" w:rsidRDefault="00D12F99" w:rsidP="00BF5FF9">
    <w:pPr>
      <w:pStyle w:val="Header"/>
    </w:pPr>
    <w:r>
      <w:rPr>
        <w:noProof/>
      </w:rPr>
      <w:drawing>
        <wp:anchor distT="0" distB="0" distL="114300" distR="114300" simplePos="0" relativeHeight="251656704" behindDoc="1" locked="0" layoutInCell="1" allowOverlap="1" wp14:anchorId="30E3597A" wp14:editId="1CEC5C90">
          <wp:simplePos x="0" y="0"/>
          <wp:positionH relativeFrom="page">
            <wp:align>right</wp:align>
          </wp:positionH>
          <wp:positionV relativeFrom="paragraph">
            <wp:posOffset>-918845</wp:posOffset>
          </wp:positionV>
          <wp:extent cx="7762239" cy="10045249"/>
          <wp:effectExtent l="0" t="0" r="0" b="0"/>
          <wp:wrapNone/>
          <wp:docPr id="871383321" name="Picture 87138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9"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972"/>
    <w:multiLevelType w:val="hybridMultilevel"/>
    <w:tmpl w:val="6BD442E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527654"/>
    <w:multiLevelType w:val="hybridMultilevel"/>
    <w:tmpl w:val="90B4D9F8"/>
    <w:lvl w:ilvl="0" w:tplc="AB660D8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2D2B20"/>
    <w:multiLevelType w:val="hybridMultilevel"/>
    <w:tmpl w:val="1C50916C"/>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04F5A4A"/>
    <w:multiLevelType w:val="hybridMultilevel"/>
    <w:tmpl w:val="03E8219A"/>
    <w:lvl w:ilvl="0" w:tplc="79B0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A60BC"/>
    <w:multiLevelType w:val="hybridMultilevel"/>
    <w:tmpl w:val="95B4C5D2"/>
    <w:lvl w:ilvl="0" w:tplc="9662A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053C00"/>
    <w:multiLevelType w:val="hybridMultilevel"/>
    <w:tmpl w:val="5AF2641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284AF8"/>
    <w:multiLevelType w:val="hybridMultilevel"/>
    <w:tmpl w:val="1DD82E1E"/>
    <w:lvl w:ilvl="0" w:tplc="C0EA8BBE">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E3C78"/>
    <w:multiLevelType w:val="multilevel"/>
    <w:tmpl w:val="A9B2AC28"/>
    <w:lvl w:ilvl="0">
      <w:start w:val="1"/>
      <w:numFmt w:val="upperLetter"/>
      <w:lvlText w:val="%1."/>
      <w:lvlJc w:val="left"/>
      <w:pPr>
        <w:tabs>
          <w:tab w:val="num" w:pos="3330"/>
        </w:tabs>
        <w:ind w:left="3330" w:hanging="720"/>
      </w:pPr>
      <w:rPr>
        <w:rFonts w:ascii="Times New Roman" w:hAnsi="Times New Roman" w:hint="default"/>
        <w:b/>
        <w:i w:val="0"/>
        <w:sz w:val="32"/>
        <w:szCs w:val="32"/>
      </w:rPr>
    </w:lvl>
    <w:lvl w:ilvl="1">
      <w:start w:val="1"/>
      <w:numFmt w:val="decimal"/>
      <w:lvlText w:val="%2."/>
      <w:lvlJc w:val="left"/>
      <w:pPr>
        <w:tabs>
          <w:tab w:val="num" w:pos="900"/>
        </w:tabs>
        <w:ind w:left="900" w:hanging="720"/>
      </w:pPr>
      <w:rPr>
        <w:rFonts w:ascii="Times New Roman" w:hAnsi="Times New Roman"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D254F24"/>
    <w:multiLevelType w:val="hybridMultilevel"/>
    <w:tmpl w:val="36A00E20"/>
    <w:lvl w:ilvl="0" w:tplc="54AA84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2D748F1"/>
    <w:multiLevelType w:val="hybridMultilevel"/>
    <w:tmpl w:val="77AC600C"/>
    <w:lvl w:ilvl="0" w:tplc="FBFEF8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DF5FC6"/>
    <w:multiLevelType w:val="hybridMultilevel"/>
    <w:tmpl w:val="F9C6D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8F4AD7"/>
    <w:multiLevelType w:val="hybridMultilevel"/>
    <w:tmpl w:val="1DD82E1E"/>
    <w:lvl w:ilvl="0" w:tplc="C0EA8BBE">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44298"/>
    <w:multiLevelType w:val="hybridMultilevel"/>
    <w:tmpl w:val="191E1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832BC8"/>
    <w:multiLevelType w:val="hybridMultilevel"/>
    <w:tmpl w:val="31249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F241F"/>
    <w:multiLevelType w:val="hybridMultilevel"/>
    <w:tmpl w:val="6F3CD10A"/>
    <w:lvl w:ilvl="0" w:tplc="369EC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F792B"/>
    <w:multiLevelType w:val="hybridMultilevel"/>
    <w:tmpl w:val="7A5C8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57E1D"/>
    <w:multiLevelType w:val="multilevel"/>
    <w:tmpl w:val="D472BF0E"/>
    <w:lvl w:ilvl="0">
      <w:start w:val="3"/>
      <w:numFmt w:val="lowerLetter"/>
      <w:lvlText w:val="(%1)"/>
      <w:lvlJc w:val="left"/>
      <w:pPr>
        <w:tabs>
          <w:tab w:val="num" w:pos="2880"/>
        </w:tabs>
        <w:ind w:left="2880" w:hanging="720"/>
      </w:pPr>
      <w:rPr>
        <w:rFonts w:hint="default"/>
      </w:rPr>
    </w:lvl>
    <w:lvl w:ilvl="1">
      <w:start w:val="1"/>
      <w:numFmt w:val="lowerLetter"/>
      <w:lvlText w:val="%2."/>
      <w:lvlJc w:val="left"/>
      <w:pPr>
        <w:ind w:left="3960" w:hanging="360"/>
      </w:pPr>
      <w:rPr>
        <w:rFonts w:hint="default"/>
      </w:rPr>
    </w:lvl>
    <w:lvl w:ilvl="2">
      <w:start w:val="1"/>
      <w:numFmt w:val="lowerRoman"/>
      <w:lvlText w:val="%3."/>
      <w:lvlJc w:val="right"/>
      <w:pPr>
        <w:ind w:left="4680" w:hanging="180"/>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num w:numId="1">
    <w:abstractNumId w:val="13"/>
  </w:num>
  <w:num w:numId="2">
    <w:abstractNumId w:val="3"/>
  </w:num>
  <w:num w:numId="3">
    <w:abstractNumId w:val="6"/>
  </w:num>
  <w:num w:numId="4">
    <w:abstractNumId w:val="9"/>
  </w:num>
  <w:num w:numId="5">
    <w:abstractNumId w:val="15"/>
  </w:num>
  <w:num w:numId="6">
    <w:abstractNumId w:val="7"/>
  </w:num>
  <w:num w:numId="7">
    <w:abstractNumId w:val="2"/>
  </w:num>
  <w:num w:numId="8">
    <w:abstractNumId w:val="8"/>
  </w:num>
  <w:num w:numId="9">
    <w:abstractNumId w:val="16"/>
  </w:num>
  <w:num w:numId="10">
    <w:abstractNumId w:val="4"/>
  </w:num>
  <w:num w:numId="11">
    <w:abstractNumId w:val="5"/>
  </w:num>
  <w:num w:numId="12">
    <w:abstractNumId w:val="0"/>
  </w:num>
  <w:num w:numId="13">
    <w:abstractNumId w:val="14"/>
  </w:num>
  <w:num w:numId="14">
    <w:abstractNumId w:val="11"/>
  </w:num>
  <w:num w:numId="15">
    <w:abstractNumId w:val="1"/>
  </w:num>
  <w:num w:numId="16">
    <w:abstractNumId w:val="12"/>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B3"/>
    <w:rsid w:val="00022207"/>
    <w:rsid w:val="000476DE"/>
    <w:rsid w:val="00071D23"/>
    <w:rsid w:val="00076040"/>
    <w:rsid w:val="00097776"/>
    <w:rsid w:val="000C43F4"/>
    <w:rsid w:val="000C473D"/>
    <w:rsid w:val="000C4F01"/>
    <w:rsid w:val="000F4091"/>
    <w:rsid w:val="001027C8"/>
    <w:rsid w:val="00103D19"/>
    <w:rsid w:val="00117520"/>
    <w:rsid w:val="00150179"/>
    <w:rsid w:val="00183F7D"/>
    <w:rsid w:val="001A481D"/>
    <w:rsid w:val="001D7661"/>
    <w:rsid w:val="001F735A"/>
    <w:rsid w:val="002110C2"/>
    <w:rsid w:val="00254951"/>
    <w:rsid w:val="00281280"/>
    <w:rsid w:val="00292B2A"/>
    <w:rsid w:val="00294CAD"/>
    <w:rsid w:val="002961E2"/>
    <w:rsid w:val="003042E4"/>
    <w:rsid w:val="00377881"/>
    <w:rsid w:val="003B5CDF"/>
    <w:rsid w:val="003C4DA9"/>
    <w:rsid w:val="00406C97"/>
    <w:rsid w:val="00416E40"/>
    <w:rsid w:val="00483265"/>
    <w:rsid w:val="004971FD"/>
    <w:rsid w:val="004A1CCB"/>
    <w:rsid w:val="004B2B2C"/>
    <w:rsid w:val="004B7D83"/>
    <w:rsid w:val="004D00B3"/>
    <w:rsid w:val="004F2BDB"/>
    <w:rsid w:val="004F4B3B"/>
    <w:rsid w:val="00526F70"/>
    <w:rsid w:val="00542F46"/>
    <w:rsid w:val="00566F16"/>
    <w:rsid w:val="005740C3"/>
    <w:rsid w:val="00583C3F"/>
    <w:rsid w:val="005955CC"/>
    <w:rsid w:val="005E6644"/>
    <w:rsid w:val="005F67E7"/>
    <w:rsid w:val="0060217F"/>
    <w:rsid w:val="00624C69"/>
    <w:rsid w:val="006522FE"/>
    <w:rsid w:val="00685131"/>
    <w:rsid w:val="006A3DEB"/>
    <w:rsid w:val="006D3814"/>
    <w:rsid w:val="006D4B96"/>
    <w:rsid w:val="006D7277"/>
    <w:rsid w:val="006E17B6"/>
    <w:rsid w:val="00700759"/>
    <w:rsid w:val="00700E7A"/>
    <w:rsid w:val="00717E46"/>
    <w:rsid w:val="007250FD"/>
    <w:rsid w:val="00731F48"/>
    <w:rsid w:val="00735079"/>
    <w:rsid w:val="0074476D"/>
    <w:rsid w:val="00765F01"/>
    <w:rsid w:val="00770207"/>
    <w:rsid w:val="007839BB"/>
    <w:rsid w:val="00785D6B"/>
    <w:rsid w:val="007B3C31"/>
    <w:rsid w:val="007C3394"/>
    <w:rsid w:val="007C3FC5"/>
    <w:rsid w:val="007D47E2"/>
    <w:rsid w:val="00803AB3"/>
    <w:rsid w:val="0082487D"/>
    <w:rsid w:val="00842D99"/>
    <w:rsid w:val="008D0544"/>
    <w:rsid w:val="008D2B07"/>
    <w:rsid w:val="008D4E25"/>
    <w:rsid w:val="008E66FD"/>
    <w:rsid w:val="00917100"/>
    <w:rsid w:val="00917E71"/>
    <w:rsid w:val="009448F9"/>
    <w:rsid w:val="00956E1F"/>
    <w:rsid w:val="00960C7E"/>
    <w:rsid w:val="00966C75"/>
    <w:rsid w:val="00972D18"/>
    <w:rsid w:val="00995516"/>
    <w:rsid w:val="009A322F"/>
    <w:rsid w:val="009D455E"/>
    <w:rsid w:val="009D79A3"/>
    <w:rsid w:val="009E4891"/>
    <w:rsid w:val="009F3693"/>
    <w:rsid w:val="009F69E4"/>
    <w:rsid w:val="00A07418"/>
    <w:rsid w:val="00A117B9"/>
    <w:rsid w:val="00A81299"/>
    <w:rsid w:val="00A84293"/>
    <w:rsid w:val="00AA2EAA"/>
    <w:rsid w:val="00AC56A8"/>
    <w:rsid w:val="00AD1D25"/>
    <w:rsid w:val="00AE3721"/>
    <w:rsid w:val="00AF2140"/>
    <w:rsid w:val="00B27E4E"/>
    <w:rsid w:val="00B306D2"/>
    <w:rsid w:val="00B36078"/>
    <w:rsid w:val="00B45054"/>
    <w:rsid w:val="00B560DD"/>
    <w:rsid w:val="00B5739F"/>
    <w:rsid w:val="00B63EB0"/>
    <w:rsid w:val="00B7197B"/>
    <w:rsid w:val="00B95B80"/>
    <w:rsid w:val="00BB59AA"/>
    <w:rsid w:val="00BD0AEC"/>
    <w:rsid w:val="00BF5FF9"/>
    <w:rsid w:val="00C02816"/>
    <w:rsid w:val="00C07C3A"/>
    <w:rsid w:val="00C13857"/>
    <w:rsid w:val="00C1694E"/>
    <w:rsid w:val="00C1743B"/>
    <w:rsid w:val="00C33A7D"/>
    <w:rsid w:val="00C41A2E"/>
    <w:rsid w:val="00C45333"/>
    <w:rsid w:val="00C7212B"/>
    <w:rsid w:val="00C85BD0"/>
    <w:rsid w:val="00C94ECC"/>
    <w:rsid w:val="00CA02B7"/>
    <w:rsid w:val="00CF664C"/>
    <w:rsid w:val="00D042CB"/>
    <w:rsid w:val="00D12F99"/>
    <w:rsid w:val="00D13BCF"/>
    <w:rsid w:val="00D172A6"/>
    <w:rsid w:val="00D262FE"/>
    <w:rsid w:val="00D32F03"/>
    <w:rsid w:val="00D62470"/>
    <w:rsid w:val="00D73F24"/>
    <w:rsid w:val="00DB5897"/>
    <w:rsid w:val="00DE02B3"/>
    <w:rsid w:val="00E35A9B"/>
    <w:rsid w:val="00E37965"/>
    <w:rsid w:val="00E50990"/>
    <w:rsid w:val="00E72636"/>
    <w:rsid w:val="00E83F55"/>
    <w:rsid w:val="00E8438A"/>
    <w:rsid w:val="00E965B4"/>
    <w:rsid w:val="00EC11C4"/>
    <w:rsid w:val="00EE7914"/>
    <w:rsid w:val="00F0132F"/>
    <w:rsid w:val="00F0679D"/>
    <w:rsid w:val="00F07A1A"/>
    <w:rsid w:val="00F16370"/>
    <w:rsid w:val="00F41D02"/>
    <w:rsid w:val="00F5529E"/>
    <w:rsid w:val="00F653CB"/>
    <w:rsid w:val="00F7532A"/>
    <w:rsid w:val="00FC2F60"/>
    <w:rsid w:val="00FF48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9697"/>
    <o:shapelayout v:ext="edit">
      <o:idmap v:ext="edit" data="1"/>
    </o:shapelayout>
  </w:shapeDefaults>
  <w:decimalSymbol w:val="."/>
  <w:listSeparator w:val=","/>
  <w14:docId w14:val="686989E1"/>
  <w15:chartTrackingRefBased/>
  <w15:docId w15:val="{3843B8BA-064D-4ABE-80D4-59EE29ED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03AB3"/>
    <w:pPr>
      <w:spacing w:after="0" w:line="240" w:lineRule="auto"/>
    </w:pPr>
  </w:style>
  <w:style w:type="paragraph" w:styleId="Heading1">
    <w:name w:val="heading 1"/>
    <w:aliases w:val="Headline"/>
    <w:basedOn w:val="Normal"/>
    <w:next w:val="Normal"/>
    <w:link w:val="Heading1Char"/>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nhideWhenUsed/>
    <w:qFormat/>
    <w:rsid w:val="00995516"/>
    <w:pPr>
      <w:jc w:val="center"/>
      <w:outlineLvl w:val="1"/>
    </w:pPr>
    <w:rPr>
      <w:rFonts w:ascii="Rockwell" w:hAnsi="Rockwell"/>
      <w:color w:val="0063A8"/>
      <w:sz w:val="32"/>
      <w:szCs w:val="36"/>
    </w:rPr>
  </w:style>
  <w:style w:type="paragraph" w:styleId="Heading3">
    <w:name w:val="heading 3"/>
    <w:aliases w:val="Sub Headline 2"/>
    <w:basedOn w:val="Heading2"/>
    <w:next w:val="Normal"/>
    <w:link w:val="Heading3Char"/>
    <w:unhideWhenUsed/>
    <w:qFormat/>
    <w:rsid w:val="000476DE"/>
    <w:pPr>
      <w:outlineLvl w:val="2"/>
    </w:pPr>
    <w:rPr>
      <w:rFonts w:ascii="Arial" w:hAnsi="Arial"/>
      <w:b/>
      <w:bCs/>
      <w:caps/>
      <w:sz w:val="22"/>
      <w:szCs w:val="24"/>
    </w:rPr>
  </w:style>
  <w:style w:type="paragraph" w:styleId="Heading4">
    <w:name w:val="heading 4"/>
    <w:basedOn w:val="Normal"/>
    <w:next w:val="Normal"/>
    <w:link w:val="Heading4Char"/>
    <w:unhideWhenUsed/>
    <w:qFormat/>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803AB3"/>
    <w:pPr>
      <w:keepNext/>
      <w:ind w:left="720"/>
      <w:outlineLvl w:val="6"/>
    </w:pPr>
    <w:rPr>
      <w:rFonts w:ascii="Franklin Gothic Book" w:hAnsi="Franklin Gothic Book"/>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9"/>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995516"/>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0476DE"/>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character" w:customStyle="1" w:styleId="Heading7Char">
    <w:name w:val="Heading 7 Char"/>
    <w:basedOn w:val="DefaultParagraphFont"/>
    <w:link w:val="Heading7"/>
    <w:uiPriority w:val="9"/>
    <w:rsid w:val="00803AB3"/>
    <w:rPr>
      <w:rFonts w:ascii="Franklin Gothic Book" w:hAnsi="Franklin Gothic Book"/>
      <w:b/>
      <w:sz w:val="28"/>
      <w:szCs w:val="28"/>
    </w:rPr>
  </w:style>
  <w:style w:type="character" w:styleId="Hyperlink">
    <w:name w:val="Hyperlink"/>
    <w:basedOn w:val="DefaultParagraphFont"/>
    <w:uiPriority w:val="99"/>
    <w:unhideWhenUsed/>
    <w:rsid w:val="00803AB3"/>
    <w:rPr>
      <w:color w:val="0000FF"/>
      <w:u w:val="single"/>
    </w:rPr>
  </w:style>
  <w:style w:type="paragraph" w:styleId="Title">
    <w:name w:val="Title"/>
    <w:basedOn w:val="Normal"/>
    <w:link w:val="TitleChar"/>
    <w:qFormat/>
    <w:rsid w:val="00803AB3"/>
    <w:pPr>
      <w:widowControl w:val="0"/>
      <w:tabs>
        <w:tab w:val="center" w:pos="4680"/>
      </w:tabs>
      <w:jc w:val="center"/>
    </w:pPr>
    <w:rPr>
      <w:rFonts w:ascii="Times New Roman" w:eastAsia="Times New Roman" w:hAnsi="Times New Roman" w:cs="Times New Roman"/>
      <w:b/>
      <w:snapToGrid w:val="0"/>
      <w:sz w:val="36"/>
      <w:szCs w:val="20"/>
    </w:rPr>
  </w:style>
  <w:style w:type="character" w:customStyle="1" w:styleId="TitleChar">
    <w:name w:val="Title Char"/>
    <w:basedOn w:val="DefaultParagraphFont"/>
    <w:link w:val="Title"/>
    <w:rsid w:val="00803AB3"/>
    <w:rPr>
      <w:rFonts w:ascii="Times New Roman" w:eastAsia="Times New Roman" w:hAnsi="Times New Roman" w:cs="Times New Roman"/>
      <w:b/>
      <w:snapToGrid w:val="0"/>
      <w:sz w:val="36"/>
      <w:szCs w:val="20"/>
    </w:rPr>
  </w:style>
  <w:style w:type="table" w:styleId="TableGrid">
    <w:name w:val="Table Grid"/>
    <w:basedOn w:val="TableNormal"/>
    <w:uiPriority w:val="59"/>
    <w:locked/>
    <w:rsid w:val="009A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A322F"/>
    <w:rPr>
      <w:rFonts w:ascii="Franklin Gothic Book" w:hAnsi="Franklin Gothic Book"/>
      <w:sz w:val="24"/>
      <w:szCs w:val="24"/>
    </w:rPr>
  </w:style>
  <w:style w:type="character" w:customStyle="1" w:styleId="BodyTextChar">
    <w:name w:val="Body Text Char"/>
    <w:basedOn w:val="DefaultParagraphFont"/>
    <w:link w:val="BodyText"/>
    <w:uiPriority w:val="99"/>
    <w:rsid w:val="009A322F"/>
    <w:rPr>
      <w:rFonts w:ascii="Franklin Gothic Book" w:hAnsi="Franklin Gothic Book"/>
      <w:sz w:val="24"/>
      <w:szCs w:val="24"/>
    </w:rPr>
  </w:style>
  <w:style w:type="character" w:styleId="UnresolvedMention">
    <w:name w:val="Unresolved Mention"/>
    <w:basedOn w:val="DefaultParagraphFont"/>
    <w:uiPriority w:val="99"/>
    <w:semiHidden/>
    <w:unhideWhenUsed/>
    <w:rsid w:val="001027C8"/>
    <w:rPr>
      <w:color w:val="605E5C"/>
      <w:shd w:val="clear" w:color="auto" w:fill="E1DFDD"/>
    </w:rPr>
  </w:style>
  <w:style w:type="paragraph" w:styleId="BodyTextIndent2">
    <w:name w:val="Body Text Indent 2"/>
    <w:basedOn w:val="Normal"/>
    <w:link w:val="BodyTextIndent2Char"/>
    <w:uiPriority w:val="99"/>
    <w:semiHidden/>
    <w:unhideWhenUsed/>
    <w:rsid w:val="00717E46"/>
    <w:pPr>
      <w:spacing w:after="120" w:line="480" w:lineRule="auto"/>
      <w:ind w:left="360"/>
    </w:pPr>
  </w:style>
  <w:style w:type="character" w:customStyle="1" w:styleId="BodyTextIndent2Char">
    <w:name w:val="Body Text Indent 2 Char"/>
    <w:basedOn w:val="DefaultParagraphFont"/>
    <w:link w:val="BodyTextIndent2"/>
    <w:uiPriority w:val="99"/>
    <w:semiHidden/>
    <w:rsid w:val="00717E46"/>
  </w:style>
  <w:style w:type="character" w:styleId="FollowedHyperlink">
    <w:name w:val="FollowedHyperlink"/>
    <w:basedOn w:val="DefaultParagraphFont"/>
    <w:uiPriority w:val="99"/>
    <w:semiHidden/>
    <w:unhideWhenUsed/>
    <w:rsid w:val="007C3394"/>
    <w:rPr>
      <w:color w:val="954F72" w:themeColor="followedHyperlink"/>
      <w:u w:val="single"/>
    </w:rPr>
  </w:style>
  <w:style w:type="character" w:styleId="PageNumber">
    <w:name w:val="page number"/>
    <w:basedOn w:val="DefaultParagraphFont"/>
    <w:rsid w:val="00566F16"/>
  </w:style>
  <w:style w:type="character" w:styleId="Strong">
    <w:name w:val="Strong"/>
    <w:uiPriority w:val="22"/>
    <w:qFormat/>
    <w:rsid w:val="00566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fc.us/pros/homelessness/development-grants/goal" TargetMode="External"/><Relationship Id="rId13" Type="http://schemas.openxmlformats.org/officeDocument/2006/relationships/hyperlink" Target="mailto:apetroni@ahfc.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apetroni@ahfc.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petroni@ahfc.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petroni@ahfc.u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hfc.us/pros/homelessness/development-grants/goal"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hfc\netlogon\templates\AHFC%20Gener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2149841-8D50-4B01-91CC-B46FB4B2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AHFC Generic Letterhead</Template>
  <TotalTime>139</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Smith</dc:creator>
  <cp:keywords/>
  <dc:description/>
  <cp:lastModifiedBy>Andy Petroni</cp:lastModifiedBy>
  <cp:revision>5</cp:revision>
  <cp:lastPrinted>2026-03-18T19:14:00Z</cp:lastPrinted>
  <dcterms:created xsi:type="dcterms:W3CDTF">2026-06-17T23:13:00Z</dcterms:created>
  <dcterms:modified xsi:type="dcterms:W3CDTF">2026-06-29T18:05:00Z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27b04b15-0657-4938-86ec-5cd6e83be9cc</vt:lpwstr>
  </property>
</Properties>
</file>