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0"/>
        <w:gridCol w:w="2190"/>
      </w:tblGrid>
      <w:tr w:rsidR="00C36932" w:rsidTr="00223B62">
        <w:trPr>
          <w:trHeight w:val="1070"/>
        </w:trPr>
        <w:tc>
          <w:tcPr>
            <w:tcW w:w="8610" w:type="dxa"/>
            <w:tcBorders>
              <w:bottom w:val="single" w:sz="18" w:space="0" w:color="2A55AC"/>
            </w:tcBorders>
            <w:vAlign w:val="center"/>
          </w:tcPr>
          <w:p w:rsidR="00C36932" w:rsidRPr="007B5F43" w:rsidRDefault="00A672AB" w:rsidP="00A60713">
            <w:pPr>
              <w:jc w:val="center"/>
              <w:rPr>
                <w:rFonts w:ascii="Franklin Gothic Demi" w:hAnsi="Franklin Gothic Demi"/>
                <w:sz w:val="32"/>
                <w:szCs w:val="32"/>
              </w:rPr>
            </w:pPr>
            <w:r>
              <w:rPr>
                <w:rFonts w:ascii="Franklin Gothic Demi" w:hAnsi="Franklin Gothic Demi"/>
                <w:sz w:val="32"/>
                <w:szCs w:val="32"/>
              </w:rPr>
              <w:t>Subsidy</w:t>
            </w:r>
            <w:r w:rsidR="00A60713">
              <w:rPr>
                <w:rFonts w:ascii="Franklin Gothic Demi" w:hAnsi="Franklin Gothic Demi"/>
                <w:sz w:val="32"/>
                <w:szCs w:val="32"/>
              </w:rPr>
              <w:t xml:space="preserve"> Standard</w:t>
            </w:r>
            <w:r w:rsidR="008851B7">
              <w:rPr>
                <w:rFonts w:ascii="Franklin Gothic Demi" w:hAnsi="Franklin Gothic Demi"/>
                <w:sz w:val="32"/>
                <w:szCs w:val="32"/>
              </w:rPr>
              <w:t>s</w:t>
            </w:r>
          </w:p>
        </w:tc>
        <w:tc>
          <w:tcPr>
            <w:tcW w:w="2190" w:type="dxa"/>
            <w:vMerge w:val="restart"/>
            <w:tcBorders>
              <w:bottom w:val="single" w:sz="18" w:space="0" w:color="2A55AC"/>
            </w:tcBorders>
            <w:vAlign w:val="center"/>
          </w:tcPr>
          <w:p w:rsidR="00C36932" w:rsidRDefault="00C36932" w:rsidP="00223B62">
            <w:pPr>
              <w:jc w:val="center"/>
            </w:pPr>
            <w:r>
              <w:rPr>
                <w:noProof/>
              </w:rPr>
              <w:drawing>
                <wp:inline distT="0" distB="0" distL="0" distR="0" wp14:anchorId="32AFC3E4" wp14:editId="1BFABF92">
                  <wp:extent cx="1371600" cy="914400"/>
                  <wp:effectExtent l="19050" t="0" r="0" b="0"/>
                  <wp:docPr id="3" name="Picture 1" descr="ahfc_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fc_logo_large.jpg"/>
                          <pic:cNvPicPr/>
                        </pic:nvPicPr>
                        <pic:blipFill>
                          <a:blip r:embed="rId7" cstate="print"/>
                          <a:stretch>
                            <a:fillRect/>
                          </a:stretch>
                        </pic:blipFill>
                        <pic:spPr>
                          <a:xfrm>
                            <a:off x="0" y="0"/>
                            <a:ext cx="1371600" cy="914400"/>
                          </a:xfrm>
                          <a:prstGeom prst="rect">
                            <a:avLst/>
                          </a:prstGeom>
                        </pic:spPr>
                      </pic:pic>
                    </a:graphicData>
                  </a:graphic>
                </wp:inline>
              </w:drawing>
            </w:r>
          </w:p>
        </w:tc>
      </w:tr>
      <w:tr w:rsidR="00C36932" w:rsidTr="00223B62">
        <w:trPr>
          <w:trHeight w:val="440"/>
        </w:trPr>
        <w:tc>
          <w:tcPr>
            <w:tcW w:w="8610" w:type="dxa"/>
            <w:tcBorders>
              <w:top w:val="single" w:sz="18" w:space="0" w:color="2A55AC"/>
            </w:tcBorders>
          </w:tcPr>
          <w:p w:rsidR="00C36932" w:rsidRPr="003871FF" w:rsidRDefault="00C36932" w:rsidP="00223B62">
            <w:pPr>
              <w:rPr>
                <w:sz w:val="18"/>
                <w:szCs w:val="18"/>
              </w:rPr>
            </w:pPr>
          </w:p>
        </w:tc>
        <w:tc>
          <w:tcPr>
            <w:tcW w:w="2190" w:type="dxa"/>
            <w:vMerge/>
            <w:tcBorders>
              <w:top w:val="single" w:sz="18" w:space="0" w:color="2A55AC"/>
            </w:tcBorders>
            <w:vAlign w:val="center"/>
          </w:tcPr>
          <w:p w:rsidR="00C36932" w:rsidRDefault="00C36932" w:rsidP="00223B62">
            <w:pPr>
              <w:jc w:val="center"/>
            </w:pPr>
          </w:p>
        </w:tc>
      </w:tr>
    </w:tbl>
    <w:p w:rsidR="00C36932" w:rsidRPr="00F67B1A" w:rsidRDefault="00C36932" w:rsidP="00C36932">
      <w:pPr>
        <w:rPr>
          <w:sz w:val="28"/>
        </w:rPr>
      </w:pPr>
    </w:p>
    <w:p w:rsidR="00B11634" w:rsidRDefault="00B11634" w:rsidP="00787F7B">
      <w:pPr>
        <w:rPr>
          <w:sz w:val="28"/>
        </w:rPr>
      </w:pPr>
    </w:p>
    <w:p w:rsidR="00A672AB" w:rsidRPr="00133866" w:rsidRDefault="00A672AB" w:rsidP="00A672AB">
      <w:pPr>
        <w:rPr>
          <w:sz w:val="28"/>
          <w:szCs w:val="28"/>
        </w:rPr>
      </w:pPr>
      <w:r w:rsidRPr="00133866">
        <w:rPr>
          <w:sz w:val="28"/>
          <w:szCs w:val="28"/>
        </w:rPr>
        <w:t>AHFC subsidy standards are applied to all families of like size and composition and based on the number of family members. AHFC assigns no more than two persons per level. AHFC reserves the right to determine the family’s subsidy standard. Once a subsidy level is assigned, families are free to select a unit within their shopping guidelines that best fits the needs of the family.</w:t>
      </w:r>
    </w:p>
    <w:p w:rsidR="00A672AB" w:rsidRPr="00133866" w:rsidRDefault="00A672AB" w:rsidP="00A672AB">
      <w:pPr>
        <w:rPr>
          <w:sz w:val="28"/>
          <w:szCs w:val="28"/>
        </w:rPr>
      </w:pPr>
    </w:p>
    <w:p w:rsidR="00A672AB" w:rsidRPr="00133866" w:rsidRDefault="00A672AB" w:rsidP="00A672AB">
      <w:pPr>
        <w:rPr>
          <w:rFonts w:ascii="Franklin Gothic Demi" w:hAnsi="Franklin Gothic Demi" w:cs="Arial"/>
          <w:sz w:val="28"/>
          <w:szCs w:val="28"/>
        </w:rPr>
      </w:pPr>
      <w:r w:rsidRPr="00133866">
        <w:rPr>
          <w:rFonts w:ascii="Franklin Gothic Demi" w:hAnsi="Franklin Gothic Demi" w:cs="Arial"/>
          <w:sz w:val="28"/>
          <w:szCs w:val="28"/>
        </w:rPr>
        <w:t>Reasonable Accommodation:</w:t>
      </w:r>
    </w:p>
    <w:p w:rsidR="00A672AB" w:rsidRPr="00133866" w:rsidRDefault="00A672AB" w:rsidP="00A672AB">
      <w:pPr>
        <w:pStyle w:val="HBBody"/>
        <w:rPr>
          <w:sz w:val="28"/>
          <w:szCs w:val="28"/>
        </w:rPr>
      </w:pPr>
      <w:r w:rsidRPr="00133866">
        <w:rPr>
          <w:sz w:val="28"/>
          <w:szCs w:val="28"/>
        </w:rPr>
        <w:t>A family may request a Reasonable Accommodation if a family member with a disability requires an exception to AHFC subsidy standards to accommodate a disability. Ask your local AHFC office for assistance with this process.</w:t>
      </w:r>
    </w:p>
    <w:p w:rsidR="00A672AB" w:rsidRPr="00133866" w:rsidRDefault="00A672AB" w:rsidP="00A672AB">
      <w:pPr>
        <w:rPr>
          <w:sz w:val="28"/>
          <w:szCs w:val="28"/>
        </w:rPr>
      </w:pPr>
    </w:p>
    <w:p w:rsidR="00787F7B" w:rsidRPr="00D64F31" w:rsidRDefault="00787F7B" w:rsidP="002A0215">
      <w:pPr>
        <w:rPr>
          <w:rFonts w:ascii="Franklin Gothic Demi" w:hAnsi="Franklin Gothic Demi" w:cs="Arial"/>
          <w:sz w:val="28"/>
        </w:rPr>
      </w:pPr>
      <w:r w:rsidRPr="00D64F31">
        <w:rPr>
          <w:rFonts w:ascii="Franklin Gothic Demi" w:hAnsi="Franklin Gothic Demi" w:cs="Arial"/>
          <w:sz w:val="28"/>
        </w:rPr>
        <w:t xml:space="preserve">Composition </w:t>
      </w:r>
      <w:r w:rsidR="00F4547D" w:rsidRPr="00D64F31">
        <w:rPr>
          <w:rFonts w:ascii="Franklin Gothic Demi" w:hAnsi="Franklin Gothic Demi" w:cs="Arial"/>
          <w:sz w:val="28"/>
        </w:rPr>
        <w:t>Factors</w:t>
      </w:r>
      <w:r w:rsidRPr="00D64F31">
        <w:rPr>
          <w:rFonts w:ascii="Franklin Gothic Demi" w:hAnsi="Franklin Gothic Demi" w:cs="Arial"/>
          <w:sz w:val="28"/>
        </w:rPr>
        <w:t>:</w:t>
      </w:r>
    </w:p>
    <w:p w:rsidR="00787F7B" w:rsidRPr="00F67B1A" w:rsidRDefault="006B3048" w:rsidP="002A0215">
      <w:pPr>
        <w:rPr>
          <w:sz w:val="28"/>
        </w:rPr>
      </w:pPr>
      <w:r>
        <w:rPr>
          <w:sz w:val="28"/>
        </w:rPr>
        <w:t>AHFC assigns two persons per bedroom</w:t>
      </w:r>
      <w:r w:rsidR="00EC4EF9">
        <w:rPr>
          <w:sz w:val="28"/>
        </w:rPr>
        <w:t>, and</w:t>
      </w:r>
      <w:r>
        <w:rPr>
          <w:sz w:val="28"/>
        </w:rPr>
        <w:t xml:space="preserve"> </w:t>
      </w:r>
      <w:r w:rsidR="00787F7B" w:rsidRPr="00F67B1A">
        <w:rPr>
          <w:sz w:val="28"/>
        </w:rPr>
        <w:t>AHFC will consider the following factors when assigning a</w:t>
      </w:r>
      <w:r>
        <w:rPr>
          <w:sz w:val="28"/>
        </w:rPr>
        <w:t xml:space="preserve"> bedroom size</w:t>
      </w:r>
      <w:r w:rsidR="00E53BD9">
        <w:rPr>
          <w:sz w:val="28"/>
        </w:rPr>
        <w:t>.</w:t>
      </w:r>
    </w:p>
    <w:p w:rsidR="006F5915" w:rsidRPr="00F67B1A" w:rsidRDefault="006F5915" w:rsidP="002A0215">
      <w:pPr>
        <w:rPr>
          <w:sz w:val="28"/>
        </w:rPr>
      </w:pPr>
    </w:p>
    <w:p w:rsidR="006F5915" w:rsidRDefault="006F5915" w:rsidP="00F66986">
      <w:pPr>
        <w:pStyle w:val="ListParagraph"/>
        <w:numPr>
          <w:ilvl w:val="0"/>
          <w:numId w:val="5"/>
        </w:numPr>
        <w:rPr>
          <w:sz w:val="28"/>
        </w:rPr>
      </w:pPr>
      <w:r w:rsidRPr="008D7B80">
        <w:rPr>
          <w:sz w:val="28"/>
        </w:rPr>
        <w:t>All minors who are expected to reside regularly (at least 50 percent of the time) in the unit will be counted, including:</w:t>
      </w:r>
    </w:p>
    <w:p w:rsidR="00F66986" w:rsidRPr="008D7B80" w:rsidRDefault="00F66986" w:rsidP="00F66986">
      <w:pPr>
        <w:pStyle w:val="ListParagraph"/>
        <w:ind w:left="360"/>
        <w:rPr>
          <w:sz w:val="28"/>
        </w:rPr>
      </w:pPr>
    </w:p>
    <w:p w:rsidR="006F5915" w:rsidRPr="00F67B1A" w:rsidRDefault="006F5915" w:rsidP="00F66986">
      <w:pPr>
        <w:ind w:left="720" w:hanging="360"/>
        <w:rPr>
          <w:sz w:val="28"/>
        </w:rPr>
      </w:pPr>
      <w:r w:rsidRPr="00F67B1A">
        <w:rPr>
          <w:sz w:val="28"/>
        </w:rPr>
        <w:t>a.</w:t>
      </w:r>
      <w:r w:rsidRPr="00F67B1A">
        <w:rPr>
          <w:sz w:val="28"/>
        </w:rPr>
        <w:tab/>
        <w:t>Those in the process of adoption by the family. During the process, the family must furnish AHFC with verifications from the adoption agent that the child(ren) has been matched with the family.</w:t>
      </w:r>
    </w:p>
    <w:p w:rsidR="006F5915" w:rsidRPr="00F67B1A" w:rsidRDefault="006F5915" w:rsidP="00F66986">
      <w:pPr>
        <w:ind w:left="720" w:hanging="360"/>
        <w:rPr>
          <w:sz w:val="28"/>
        </w:rPr>
      </w:pPr>
      <w:r w:rsidRPr="00F67B1A">
        <w:rPr>
          <w:sz w:val="28"/>
        </w:rPr>
        <w:t>b.</w:t>
      </w:r>
      <w:r w:rsidRPr="00F67B1A">
        <w:rPr>
          <w:sz w:val="28"/>
        </w:rPr>
        <w:tab/>
        <w:t>Those in the process of placement with a foster family. The family must furnish AHFC with verification from the licensing agent that the family has been approved as a foster family. AHFC will grant the additional subsidy required for the placement of foster children in the home.</w:t>
      </w:r>
    </w:p>
    <w:p w:rsidR="006F5915" w:rsidRPr="00F67B1A" w:rsidRDefault="006F5915" w:rsidP="00F66986">
      <w:pPr>
        <w:ind w:left="720" w:hanging="360"/>
        <w:rPr>
          <w:sz w:val="28"/>
        </w:rPr>
      </w:pPr>
      <w:r w:rsidRPr="00F67B1A">
        <w:rPr>
          <w:sz w:val="28"/>
        </w:rPr>
        <w:t>c.</w:t>
      </w:r>
      <w:r w:rsidRPr="00F67B1A">
        <w:rPr>
          <w:sz w:val="28"/>
        </w:rPr>
        <w:tab/>
        <w:t>Those obtained through custody agreements. The family must provide AHFC with custody verification.</w:t>
      </w:r>
    </w:p>
    <w:p w:rsidR="006F5915" w:rsidRDefault="006F5915" w:rsidP="00F66986">
      <w:pPr>
        <w:ind w:left="720" w:hanging="360"/>
        <w:rPr>
          <w:sz w:val="28"/>
        </w:rPr>
      </w:pPr>
      <w:r w:rsidRPr="00F67B1A">
        <w:rPr>
          <w:sz w:val="28"/>
        </w:rPr>
        <w:t>d.</w:t>
      </w:r>
      <w:r w:rsidRPr="00F67B1A">
        <w:rPr>
          <w:sz w:val="28"/>
        </w:rPr>
        <w:tab/>
        <w:t>Those temporarily absent from the home due to placement in foster care. During the process, the family must furnish AHFC with verification from the foster care agent that the child(ren) will b</w:t>
      </w:r>
      <w:r w:rsidR="00F66986">
        <w:rPr>
          <w:sz w:val="28"/>
        </w:rPr>
        <w:t>e returned to the family timely.</w:t>
      </w:r>
    </w:p>
    <w:p w:rsidR="00F66986" w:rsidRPr="00F67B1A" w:rsidRDefault="00F66986" w:rsidP="00F66986">
      <w:pPr>
        <w:rPr>
          <w:sz w:val="28"/>
        </w:rPr>
      </w:pPr>
    </w:p>
    <w:p w:rsidR="006F5915" w:rsidRDefault="006F5915" w:rsidP="00F66986">
      <w:pPr>
        <w:pStyle w:val="ListParagraph"/>
        <w:numPr>
          <w:ilvl w:val="0"/>
          <w:numId w:val="5"/>
        </w:numPr>
        <w:rPr>
          <w:sz w:val="28"/>
        </w:rPr>
      </w:pPr>
      <w:r w:rsidRPr="008D7B80">
        <w:rPr>
          <w:sz w:val="28"/>
        </w:rPr>
        <w:t>A pregnant woman is counted as two persons.</w:t>
      </w:r>
    </w:p>
    <w:p w:rsidR="00F66986" w:rsidRPr="008D7B80" w:rsidRDefault="00F66986" w:rsidP="00F66986">
      <w:pPr>
        <w:pStyle w:val="ListParagraph"/>
        <w:ind w:left="360"/>
        <w:rPr>
          <w:sz w:val="28"/>
        </w:rPr>
      </w:pPr>
    </w:p>
    <w:p w:rsidR="00EB49CA" w:rsidRDefault="00516FA9" w:rsidP="00F66986">
      <w:pPr>
        <w:pStyle w:val="ListParagraph"/>
        <w:numPr>
          <w:ilvl w:val="0"/>
          <w:numId w:val="5"/>
        </w:numPr>
        <w:rPr>
          <w:sz w:val="28"/>
        </w:rPr>
      </w:pPr>
      <w:r w:rsidRPr="008D7B80">
        <w:rPr>
          <w:sz w:val="28"/>
        </w:rPr>
        <w:t>Two or more previously unrelated disabled/elderly persons who choose to live together may receive a two bedroom unit upon request</w:t>
      </w:r>
      <w:r w:rsidR="00EB49CA" w:rsidRPr="008D7B80">
        <w:rPr>
          <w:sz w:val="28"/>
        </w:rPr>
        <w:t xml:space="preserve">. Elderly or disabled </w:t>
      </w:r>
      <w:r w:rsidR="00EB49CA" w:rsidRPr="008D7B80">
        <w:rPr>
          <w:sz w:val="28"/>
        </w:rPr>
        <w:lastRenderedPageBreak/>
        <w:t>individuals may decide to cohabitate due to financial, not familial status. This encourages those individuals who are interested in sharing or pooling their resources to do so.</w:t>
      </w:r>
    </w:p>
    <w:p w:rsidR="00F66986" w:rsidRPr="00F66986" w:rsidRDefault="00F66986" w:rsidP="00F66986">
      <w:pPr>
        <w:pStyle w:val="ListParagraph"/>
        <w:rPr>
          <w:sz w:val="28"/>
        </w:rPr>
      </w:pPr>
    </w:p>
    <w:p w:rsidR="00EB49CA" w:rsidRDefault="00EB49CA" w:rsidP="00F66986">
      <w:pPr>
        <w:pStyle w:val="ListParagraph"/>
        <w:numPr>
          <w:ilvl w:val="0"/>
          <w:numId w:val="5"/>
        </w:numPr>
        <w:rPr>
          <w:sz w:val="28"/>
        </w:rPr>
      </w:pPr>
      <w:r w:rsidRPr="008D7B80">
        <w:rPr>
          <w:sz w:val="28"/>
        </w:rPr>
        <w:t>A family comprised of more than two generations of family members will qualify the family for a one-step increase in the occupancy level. Families may self-certify the relationship. This encourages families that wish to provide care or support for an elderly relative to do so.</w:t>
      </w:r>
    </w:p>
    <w:p w:rsidR="00F66986" w:rsidRPr="00F66986" w:rsidRDefault="00F66986" w:rsidP="00F66986">
      <w:pPr>
        <w:pStyle w:val="ListParagraph"/>
        <w:rPr>
          <w:sz w:val="28"/>
        </w:rPr>
      </w:pPr>
    </w:p>
    <w:p w:rsidR="00EB49CA" w:rsidRPr="008D7B80" w:rsidRDefault="00EB49CA" w:rsidP="00F66986">
      <w:pPr>
        <w:pStyle w:val="ListParagraph"/>
        <w:numPr>
          <w:ilvl w:val="0"/>
          <w:numId w:val="5"/>
        </w:numPr>
        <w:rPr>
          <w:sz w:val="28"/>
        </w:rPr>
      </w:pPr>
      <w:r w:rsidRPr="008D7B80">
        <w:rPr>
          <w:sz w:val="28"/>
        </w:rPr>
        <w:t>A live-in aide approved by AHFC to reside in the unit. AHFC will not provide additional subsidy for a live-in aide’s family members to reside in a subsidized unit.</w:t>
      </w:r>
    </w:p>
    <w:p w:rsidR="00BA60FC" w:rsidRPr="00BA60FC" w:rsidRDefault="00BA60FC" w:rsidP="00F66986">
      <w:pPr>
        <w:rPr>
          <w:sz w:val="28"/>
          <w:szCs w:val="28"/>
        </w:rPr>
      </w:pPr>
    </w:p>
    <w:tbl>
      <w:tblPr>
        <w:tblStyle w:val="TableGrid"/>
        <w:tblW w:w="8298" w:type="dxa"/>
        <w:tblInd w:w="720" w:type="dxa"/>
        <w:tblLook w:val="04A0" w:firstRow="1" w:lastRow="0" w:firstColumn="1" w:lastColumn="0" w:noHBand="0" w:noVBand="1"/>
      </w:tblPr>
      <w:tblGrid>
        <w:gridCol w:w="3028"/>
        <w:gridCol w:w="1673"/>
        <w:gridCol w:w="236"/>
        <w:gridCol w:w="3361"/>
      </w:tblGrid>
      <w:tr w:rsidR="00BA60FC" w:rsidRPr="00133866" w:rsidTr="00E23658">
        <w:tc>
          <w:tcPr>
            <w:tcW w:w="3028" w:type="dxa"/>
          </w:tcPr>
          <w:p w:rsidR="00BA60FC" w:rsidRPr="00133866" w:rsidRDefault="00BA60FC" w:rsidP="00F66986">
            <w:pPr>
              <w:rPr>
                <w:rFonts w:ascii="Arial" w:hAnsi="Arial" w:cs="Arial"/>
                <w:b/>
                <w:sz w:val="20"/>
                <w:szCs w:val="20"/>
              </w:rPr>
            </w:pPr>
            <w:r w:rsidRPr="00133866">
              <w:rPr>
                <w:rFonts w:ascii="Arial" w:hAnsi="Arial" w:cs="Arial"/>
                <w:b/>
                <w:sz w:val="20"/>
                <w:szCs w:val="20"/>
              </w:rPr>
              <w:t>Number of Family Members*</w:t>
            </w:r>
          </w:p>
        </w:tc>
        <w:tc>
          <w:tcPr>
            <w:tcW w:w="1673" w:type="dxa"/>
          </w:tcPr>
          <w:p w:rsidR="00BA60FC" w:rsidRPr="00133866" w:rsidRDefault="00BA60FC" w:rsidP="00F66986">
            <w:pPr>
              <w:rPr>
                <w:rFonts w:ascii="Arial" w:hAnsi="Arial" w:cs="Arial"/>
                <w:b/>
                <w:sz w:val="20"/>
                <w:szCs w:val="20"/>
              </w:rPr>
            </w:pPr>
            <w:r w:rsidRPr="00133866">
              <w:rPr>
                <w:rFonts w:ascii="Arial" w:hAnsi="Arial" w:cs="Arial"/>
                <w:b/>
                <w:sz w:val="20"/>
                <w:szCs w:val="20"/>
              </w:rPr>
              <w:t>Subsidy Level</w:t>
            </w:r>
          </w:p>
        </w:tc>
        <w:tc>
          <w:tcPr>
            <w:tcW w:w="236" w:type="dxa"/>
            <w:tcBorders>
              <w:top w:val="nil"/>
              <w:bottom w:val="nil"/>
              <w:right w:val="nil"/>
            </w:tcBorders>
          </w:tcPr>
          <w:p w:rsidR="00BA60FC" w:rsidRPr="00133866" w:rsidRDefault="00BA60FC" w:rsidP="00F66986">
            <w:pPr>
              <w:rPr>
                <w:rFonts w:ascii="Arial" w:hAnsi="Arial" w:cs="Arial"/>
                <w:b/>
                <w:sz w:val="28"/>
                <w:szCs w:val="28"/>
              </w:rPr>
            </w:pPr>
          </w:p>
        </w:tc>
        <w:tc>
          <w:tcPr>
            <w:tcW w:w="3361" w:type="dxa"/>
            <w:vMerge w:val="restart"/>
            <w:tcBorders>
              <w:top w:val="nil"/>
              <w:left w:val="nil"/>
              <w:right w:val="nil"/>
            </w:tcBorders>
          </w:tcPr>
          <w:p w:rsidR="00BA60FC" w:rsidRPr="00133866" w:rsidRDefault="00BA60FC" w:rsidP="00F66986">
            <w:pPr>
              <w:rPr>
                <w:rFonts w:ascii="Arial" w:hAnsi="Arial" w:cs="Arial"/>
                <w:b/>
                <w:sz w:val="28"/>
                <w:szCs w:val="28"/>
              </w:rPr>
            </w:pPr>
            <w:r w:rsidRPr="00133866">
              <w:rPr>
                <w:sz w:val="28"/>
                <w:szCs w:val="28"/>
              </w:rPr>
              <w:t>*For families with more than 12 persons, AHFC will add one subsidy level for each additional two persons. For example, a family of 15 persons will receive a level 8 subsidy.</w:t>
            </w:r>
          </w:p>
        </w:tc>
      </w:tr>
      <w:tr w:rsidR="00BA60FC" w:rsidRPr="00133866" w:rsidTr="00E23658">
        <w:tc>
          <w:tcPr>
            <w:tcW w:w="3028" w:type="dxa"/>
          </w:tcPr>
          <w:p w:rsidR="00BA60FC" w:rsidRPr="00133866" w:rsidRDefault="00BA60FC" w:rsidP="00F66986">
            <w:pPr>
              <w:rPr>
                <w:sz w:val="28"/>
                <w:szCs w:val="28"/>
              </w:rPr>
            </w:pPr>
            <w:r w:rsidRPr="00133866">
              <w:rPr>
                <w:sz w:val="28"/>
                <w:szCs w:val="28"/>
              </w:rPr>
              <w:t>1 to 2 persons</w:t>
            </w:r>
          </w:p>
        </w:tc>
        <w:tc>
          <w:tcPr>
            <w:tcW w:w="1673" w:type="dxa"/>
          </w:tcPr>
          <w:p w:rsidR="00BA60FC" w:rsidRPr="00133866" w:rsidRDefault="00BA60FC" w:rsidP="00F66986">
            <w:pPr>
              <w:rPr>
                <w:sz w:val="28"/>
                <w:szCs w:val="28"/>
              </w:rPr>
            </w:pPr>
            <w:r w:rsidRPr="00133866">
              <w:rPr>
                <w:sz w:val="28"/>
                <w:szCs w:val="28"/>
              </w:rPr>
              <w:t>One</w:t>
            </w:r>
          </w:p>
        </w:tc>
        <w:tc>
          <w:tcPr>
            <w:tcW w:w="236" w:type="dxa"/>
            <w:tcBorders>
              <w:top w:val="nil"/>
              <w:bottom w:val="nil"/>
              <w:right w:val="nil"/>
            </w:tcBorders>
          </w:tcPr>
          <w:p w:rsidR="00BA60FC" w:rsidRPr="00133866" w:rsidRDefault="00BA60FC" w:rsidP="00F66986">
            <w:pPr>
              <w:rPr>
                <w:sz w:val="28"/>
                <w:szCs w:val="28"/>
              </w:rPr>
            </w:pPr>
          </w:p>
        </w:tc>
        <w:tc>
          <w:tcPr>
            <w:tcW w:w="3361" w:type="dxa"/>
            <w:vMerge/>
            <w:tcBorders>
              <w:left w:val="nil"/>
              <w:right w:val="nil"/>
            </w:tcBorders>
          </w:tcPr>
          <w:p w:rsidR="00BA60FC" w:rsidRPr="00133866" w:rsidRDefault="00BA60FC" w:rsidP="00F66986">
            <w:pPr>
              <w:rPr>
                <w:sz w:val="28"/>
                <w:szCs w:val="28"/>
              </w:rPr>
            </w:pPr>
          </w:p>
        </w:tc>
      </w:tr>
      <w:tr w:rsidR="00BA60FC" w:rsidRPr="00133866" w:rsidTr="00E23658">
        <w:tc>
          <w:tcPr>
            <w:tcW w:w="3028" w:type="dxa"/>
          </w:tcPr>
          <w:p w:rsidR="00BA60FC" w:rsidRPr="00133866" w:rsidRDefault="00BA60FC" w:rsidP="00F66986">
            <w:pPr>
              <w:rPr>
                <w:sz w:val="28"/>
                <w:szCs w:val="28"/>
              </w:rPr>
            </w:pPr>
            <w:r w:rsidRPr="00133866">
              <w:rPr>
                <w:sz w:val="28"/>
                <w:szCs w:val="28"/>
              </w:rPr>
              <w:t>3 to 4 persons</w:t>
            </w:r>
          </w:p>
        </w:tc>
        <w:tc>
          <w:tcPr>
            <w:tcW w:w="1673" w:type="dxa"/>
          </w:tcPr>
          <w:p w:rsidR="00BA60FC" w:rsidRPr="00133866" w:rsidRDefault="00BA60FC" w:rsidP="00F66986">
            <w:pPr>
              <w:rPr>
                <w:sz w:val="28"/>
                <w:szCs w:val="28"/>
              </w:rPr>
            </w:pPr>
            <w:r w:rsidRPr="00133866">
              <w:rPr>
                <w:sz w:val="28"/>
                <w:szCs w:val="28"/>
              </w:rPr>
              <w:t>Two</w:t>
            </w:r>
          </w:p>
        </w:tc>
        <w:tc>
          <w:tcPr>
            <w:tcW w:w="236" w:type="dxa"/>
            <w:tcBorders>
              <w:top w:val="nil"/>
              <w:bottom w:val="nil"/>
              <w:right w:val="nil"/>
            </w:tcBorders>
          </w:tcPr>
          <w:p w:rsidR="00BA60FC" w:rsidRPr="00133866" w:rsidRDefault="00BA60FC" w:rsidP="00F66986">
            <w:pPr>
              <w:rPr>
                <w:sz w:val="28"/>
                <w:szCs w:val="28"/>
              </w:rPr>
            </w:pPr>
          </w:p>
        </w:tc>
        <w:tc>
          <w:tcPr>
            <w:tcW w:w="3361" w:type="dxa"/>
            <w:vMerge/>
            <w:tcBorders>
              <w:left w:val="nil"/>
              <w:right w:val="nil"/>
            </w:tcBorders>
          </w:tcPr>
          <w:p w:rsidR="00BA60FC" w:rsidRPr="00133866" w:rsidRDefault="00BA60FC" w:rsidP="00F66986">
            <w:pPr>
              <w:rPr>
                <w:sz w:val="28"/>
                <w:szCs w:val="28"/>
              </w:rPr>
            </w:pPr>
          </w:p>
        </w:tc>
      </w:tr>
      <w:tr w:rsidR="00BA60FC" w:rsidRPr="00133866" w:rsidTr="00E23658">
        <w:tc>
          <w:tcPr>
            <w:tcW w:w="3028" w:type="dxa"/>
          </w:tcPr>
          <w:p w:rsidR="00BA60FC" w:rsidRPr="00133866" w:rsidRDefault="00BA60FC" w:rsidP="00F66986">
            <w:pPr>
              <w:rPr>
                <w:sz w:val="28"/>
                <w:szCs w:val="28"/>
              </w:rPr>
            </w:pPr>
            <w:r w:rsidRPr="00133866">
              <w:rPr>
                <w:sz w:val="28"/>
                <w:szCs w:val="28"/>
              </w:rPr>
              <w:t>5 to 6 persons</w:t>
            </w:r>
          </w:p>
        </w:tc>
        <w:tc>
          <w:tcPr>
            <w:tcW w:w="1673" w:type="dxa"/>
          </w:tcPr>
          <w:p w:rsidR="00BA60FC" w:rsidRPr="00133866" w:rsidRDefault="00BA60FC" w:rsidP="00F66986">
            <w:pPr>
              <w:rPr>
                <w:sz w:val="28"/>
                <w:szCs w:val="28"/>
              </w:rPr>
            </w:pPr>
            <w:r w:rsidRPr="00133866">
              <w:rPr>
                <w:sz w:val="28"/>
                <w:szCs w:val="28"/>
              </w:rPr>
              <w:t>Three</w:t>
            </w:r>
          </w:p>
        </w:tc>
        <w:tc>
          <w:tcPr>
            <w:tcW w:w="236" w:type="dxa"/>
            <w:tcBorders>
              <w:top w:val="nil"/>
              <w:bottom w:val="nil"/>
              <w:right w:val="nil"/>
            </w:tcBorders>
          </w:tcPr>
          <w:p w:rsidR="00BA60FC" w:rsidRPr="00133866" w:rsidRDefault="00BA60FC" w:rsidP="00F66986">
            <w:pPr>
              <w:rPr>
                <w:sz w:val="28"/>
                <w:szCs w:val="28"/>
              </w:rPr>
            </w:pPr>
          </w:p>
        </w:tc>
        <w:tc>
          <w:tcPr>
            <w:tcW w:w="3361" w:type="dxa"/>
            <w:vMerge/>
            <w:tcBorders>
              <w:left w:val="nil"/>
              <w:right w:val="nil"/>
            </w:tcBorders>
          </w:tcPr>
          <w:p w:rsidR="00BA60FC" w:rsidRPr="00133866" w:rsidRDefault="00BA60FC" w:rsidP="00F66986">
            <w:pPr>
              <w:rPr>
                <w:sz w:val="28"/>
                <w:szCs w:val="28"/>
              </w:rPr>
            </w:pPr>
          </w:p>
        </w:tc>
      </w:tr>
      <w:tr w:rsidR="00BA60FC" w:rsidRPr="00133866" w:rsidTr="00E23658">
        <w:tc>
          <w:tcPr>
            <w:tcW w:w="3028" w:type="dxa"/>
          </w:tcPr>
          <w:p w:rsidR="00BA60FC" w:rsidRPr="00133866" w:rsidRDefault="00BA60FC" w:rsidP="00F66986">
            <w:pPr>
              <w:rPr>
                <w:sz w:val="28"/>
                <w:szCs w:val="28"/>
              </w:rPr>
            </w:pPr>
            <w:r w:rsidRPr="00133866">
              <w:rPr>
                <w:sz w:val="28"/>
                <w:szCs w:val="28"/>
              </w:rPr>
              <w:t>7 to 8 persons</w:t>
            </w:r>
          </w:p>
        </w:tc>
        <w:tc>
          <w:tcPr>
            <w:tcW w:w="1673" w:type="dxa"/>
          </w:tcPr>
          <w:p w:rsidR="00BA60FC" w:rsidRPr="00133866" w:rsidRDefault="00BA60FC" w:rsidP="00F66986">
            <w:pPr>
              <w:rPr>
                <w:sz w:val="28"/>
                <w:szCs w:val="28"/>
              </w:rPr>
            </w:pPr>
            <w:r w:rsidRPr="00133866">
              <w:rPr>
                <w:sz w:val="28"/>
                <w:szCs w:val="28"/>
              </w:rPr>
              <w:t>Four</w:t>
            </w:r>
          </w:p>
        </w:tc>
        <w:tc>
          <w:tcPr>
            <w:tcW w:w="236" w:type="dxa"/>
            <w:tcBorders>
              <w:top w:val="nil"/>
              <w:bottom w:val="nil"/>
              <w:right w:val="nil"/>
            </w:tcBorders>
          </w:tcPr>
          <w:p w:rsidR="00BA60FC" w:rsidRPr="00133866" w:rsidRDefault="00BA60FC" w:rsidP="00F66986">
            <w:pPr>
              <w:rPr>
                <w:sz w:val="28"/>
                <w:szCs w:val="28"/>
              </w:rPr>
            </w:pPr>
          </w:p>
        </w:tc>
        <w:tc>
          <w:tcPr>
            <w:tcW w:w="3361" w:type="dxa"/>
            <w:vMerge/>
            <w:tcBorders>
              <w:left w:val="nil"/>
              <w:right w:val="nil"/>
            </w:tcBorders>
          </w:tcPr>
          <w:p w:rsidR="00BA60FC" w:rsidRPr="00133866" w:rsidRDefault="00BA60FC" w:rsidP="00F66986">
            <w:pPr>
              <w:rPr>
                <w:sz w:val="28"/>
                <w:szCs w:val="28"/>
              </w:rPr>
            </w:pPr>
          </w:p>
        </w:tc>
      </w:tr>
      <w:tr w:rsidR="00BA60FC" w:rsidRPr="00133866" w:rsidTr="00E23658">
        <w:tc>
          <w:tcPr>
            <w:tcW w:w="3028" w:type="dxa"/>
          </w:tcPr>
          <w:p w:rsidR="00BA60FC" w:rsidRPr="00133866" w:rsidRDefault="00BA60FC" w:rsidP="00F66986">
            <w:pPr>
              <w:rPr>
                <w:sz w:val="28"/>
                <w:szCs w:val="28"/>
              </w:rPr>
            </w:pPr>
            <w:r w:rsidRPr="00133866">
              <w:rPr>
                <w:sz w:val="28"/>
                <w:szCs w:val="28"/>
              </w:rPr>
              <w:t>9 to 10 persons</w:t>
            </w:r>
          </w:p>
        </w:tc>
        <w:tc>
          <w:tcPr>
            <w:tcW w:w="1673" w:type="dxa"/>
          </w:tcPr>
          <w:p w:rsidR="00BA60FC" w:rsidRPr="00133866" w:rsidRDefault="00BA60FC" w:rsidP="00F66986">
            <w:pPr>
              <w:rPr>
                <w:sz w:val="28"/>
                <w:szCs w:val="28"/>
              </w:rPr>
            </w:pPr>
            <w:r w:rsidRPr="00133866">
              <w:rPr>
                <w:sz w:val="28"/>
                <w:szCs w:val="28"/>
              </w:rPr>
              <w:t>Five</w:t>
            </w:r>
          </w:p>
        </w:tc>
        <w:tc>
          <w:tcPr>
            <w:tcW w:w="236" w:type="dxa"/>
            <w:tcBorders>
              <w:top w:val="nil"/>
              <w:bottom w:val="nil"/>
              <w:right w:val="nil"/>
            </w:tcBorders>
          </w:tcPr>
          <w:p w:rsidR="00BA60FC" w:rsidRPr="00133866" w:rsidRDefault="00BA60FC" w:rsidP="00F66986">
            <w:pPr>
              <w:rPr>
                <w:sz w:val="28"/>
                <w:szCs w:val="28"/>
              </w:rPr>
            </w:pPr>
          </w:p>
        </w:tc>
        <w:tc>
          <w:tcPr>
            <w:tcW w:w="3361" w:type="dxa"/>
            <w:vMerge/>
            <w:tcBorders>
              <w:left w:val="nil"/>
              <w:right w:val="nil"/>
            </w:tcBorders>
          </w:tcPr>
          <w:p w:rsidR="00BA60FC" w:rsidRPr="00133866" w:rsidRDefault="00BA60FC" w:rsidP="00F66986">
            <w:pPr>
              <w:rPr>
                <w:sz w:val="28"/>
                <w:szCs w:val="28"/>
              </w:rPr>
            </w:pPr>
          </w:p>
        </w:tc>
      </w:tr>
      <w:tr w:rsidR="00BA60FC" w:rsidRPr="00133866" w:rsidTr="00E23658">
        <w:tc>
          <w:tcPr>
            <w:tcW w:w="3028" w:type="dxa"/>
          </w:tcPr>
          <w:p w:rsidR="00BA60FC" w:rsidRPr="00133866" w:rsidRDefault="00BA60FC" w:rsidP="00F66986">
            <w:pPr>
              <w:rPr>
                <w:sz w:val="28"/>
                <w:szCs w:val="28"/>
              </w:rPr>
            </w:pPr>
            <w:r w:rsidRPr="00133866">
              <w:rPr>
                <w:sz w:val="28"/>
                <w:szCs w:val="28"/>
              </w:rPr>
              <w:t>11 to 12 persons</w:t>
            </w:r>
          </w:p>
        </w:tc>
        <w:tc>
          <w:tcPr>
            <w:tcW w:w="1673" w:type="dxa"/>
          </w:tcPr>
          <w:p w:rsidR="00BA60FC" w:rsidRPr="00133866" w:rsidRDefault="00BA60FC" w:rsidP="00F66986">
            <w:pPr>
              <w:rPr>
                <w:sz w:val="28"/>
                <w:szCs w:val="28"/>
              </w:rPr>
            </w:pPr>
            <w:r w:rsidRPr="00133866">
              <w:rPr>
                <w:sz w:val="28"/>
                <w:szCs w:val="28"/>
              </w:rPr>
              <w:t>Six</w:t>
            </w:r>
          </w:p>
        </w:tc>
        <w:tc>
          <w:tcPr>
            <w:tcW w:w="236" w:type="dxa"/>
            <w:tcBorders>
              <w:top w:val="nil"/>
              <w:bottom w:val="nil"/>
              <w:right w:val="nil"/>
            </w:tcBorders>
          </w:tcPr>
          <w:p w:rsidR="00BA60FC" w:rsidRPr="00133866" w:rsidRDefault="00BA60FC" w:rsidP="00F66986">
            <w:pPr>
              <w:rPr>
                <w:sz w:val="28"/>
                <w:szCs w:val="28"/>
              </w:rPr>
            </w:pPr>
          </w:p>
        </w:tc>
        <w:tc>
          <w:tcPr>
            <w:tcW w:w="3361" w:type="dxa"/>
            <w:vMerge/>
            <w:tcBorders>
              <w:left w:val="nil"/>
              <w:bottom w:val="nil"/>
              <w:right w:val="nil"/>
            </w:tcBorders>
          </w:tcPr>
          <w:p w:rsidR="00BA60FC" w:rsidRPr="00133866" w:rsidRDefault="00BA60FC" w:rsidP="00F66986">
            <w:pPr>
              <w:rPr>
                <w:sz w:val="28"/>
                <w:szCs w:val="28"/>
              </w:rPr>
            </w:pPr>
          </w:p>
        </w:tc>
      </w:tr>
    </w:tbl>
    <w:p w:rsidR="00EF5710" w:rsidRDefault="00EF5710" w:rsidP="00F66986">
      <w:pPr>
        <w:rPr>
          <w:sz w:val="28"/>
        </w:rPr>
      </w:pPr>
    </w:p>
    <w:sectPr w:rsidR="00EF5710" w:rsidSect="002A0215">
      <w:headerReference w:type="even" r:id="rId8"/>
      <w:headerReference w:type="default" r:id="rId9"/>
      <w:footerReference w:type="even" r:id="rId10"/>
      <w:footerReference w:type="default" r:id="rId11"/>
      <w:headerReference w:type="first" r:id="rId12"/>
      <w:footerReference w:type="first" r:id="rId13"/>
      <w:pgSz w:w="12240" w:h="15840" w:code="1"/>
      <w:pgMar w:top="720" w:right="1296"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787" w:rsidRDefault="00DC3787" w:rsidP="00787F7B">
      <w:r>
        <w:separator/>
      </w:r>
    </w:p>
  </w:endnote>
  <w:endnote w:type="continuationSeparator" w:id="0">
    <w:p w:rsidR="00DC3787" w:rsidRDefault="00DC3787" w:rsidP="0078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94E" w:rsidRDefault="00147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41" w:rsidRPr="003B53BF" w:rsidRDefault="00DC3F41" w:rsidP="00DC3F41">
    <w:pPr>
      <w:rPr>
        <w:sz w:val="8"/>
        <w:szCs w:val="8"/>
      </w:rPr>
    </w:pPr>
  </w:p>
  <w:tbl>
    <w:tblPr>
      <w:tblW w:w="10944" w:type="dxa"/>
      <w:jc w:val="center"/>
      <w:tblCellMar>
        <w:top w:w="14" w:type="dxa"/>
        <w:left w:w="0" w:type="dxa"/>
        <w:right w:w="0" w:type="dxa"/>
      </w:tblCellMar>
      <w:tblLook w:val="0000" w:firstRow="0" w:lastRow="0" w:firstColumn="0" w:lastColumn="0" w:noHBand="0" w:noVBand="0"/>
    </w:tblPr>
    <w:tblGrid>
      <w:gridCol w:w="1584"/>
      <w:gridCol w:w="7776"/>
      <w:gridCol w:w="1584"/>
    </w:tblGrid>
    <w:tr w:rsidR="00DC3F41" w:rsidRPr="00400FDD" w:rsidTr="00DA7511">
      <w:trPr>
        <w:jc w:val="center"/>
      </w:trPr>
      <w:tc>
        <w:tcPr>
          <w:tcW w:w="1584" w:type="dxa"/>
          <w:tcBorders>
            <w:top w:val="single" w:sz="18" w:space="0" w:color="2A55AC"/>
          </w:tcBorders>
          <w:vAlign w:val="bottom"/>
        </w:tcPr>
        <w:p w:rsidR="00DC3F41" w:rsidRPr="00400FDD" w:rsidRDefault="007374E1" w:rsidP="00DA7511">
          <w:pPr>
            <w:rPr>
              <w:sz w:val="16"/>
              <w:szCs w:val="16"/>
            </w:rPr>
          </w:pPr>
          <w:r>
            <w:rPr>
              <w:sz w:val="16"/>
              <w:szCs w:val="16"/>
            </w:rPr>
            <w:t>V04s</w:t>
          </w:r>
        </w:p>
      </w:tc>
      <w:tc>
        <w:tcPr>
          <w:tcW w:w="7776" w:type="dxa"/>
          <w:tcBorders>
            <w:top w:val="single" w:sz="18" w:space="0" w:color="2A55AC"/>
          </w:tcBorders>
          <w:vAlign w:val="bottom"/>
        </w:tcPr>
        <w:p w:rsidR="00DC3F41" w:rsidRPr="00400FDD" w:rsidRDefault="00DC3F41" w:rsidP="00DA7511">
          <w:pPr>
            <w:jc w:val="center"/>
            <w:rPr>
              <w:sz w:val="16"/>
              <w:szCs w:val="16"/>
            </w:rPr>
          </w:pPr>
          <w:r w:rsidRPr="00400FDD">
            <w:rPr>
              <w:sz w:val="16"/>
              <w:szCs w:val="16"/>
            </w:rPr>
            <w:t xml:space="preserve">Page </w:t>
          </w:r>
          <w:r w:rsidRPr="00400FDD">
            <w:rPr>
              <w:sz w:val="16"/>
              <w:szCs w:val="16"/>
            </w:rPr>
            <w:fldChar w:fldCharType="begin"/>
          </w:r>
          <w:r w:rsidRPr="00400FDD">
            <w:rPr>
              <w:sz w:val="16"/>
              <w:szCs w:val="16"/>
            </w:rPr>
            <w:instrText xml:space="preserve"> PAGE  \* Arabic  \* MERGEFORMAT </w:instrText>
          </w:r>
          <w:r w:rsidRPr="00400FDD">
            <w:rPr>
              <w:sz w:val="16"/>
              <w:szCs w:val="16"/>
            </w:rPr>
            <w:fldChar w:fldCharType="separate"/>
          </w:r>
          <w:r w:rsidR="009F1A6B">
            <w:rPr>
              <w:noProof/>
              <w:sz w:val="16"/>
              <w:szCs w:val="16"/>
            </w:rPr>
            <w:t>2</w:t>
          </w:r>
          <w:r w:rsidRPr="00400FDD">
            <w:rPr>
              <w:sz w:val="16"/>
              <w:szCs w:val="16"/>
            </w:rPr>
            <w:fldChar w:fldCharType="end"/>
          </w:r>
          <w:r w:rsidRPr="00400FDD">
            <w:rPr>
              <w:sz w:val="16"/>
              <w:szCs w:val="16"/>
            </w:rPr>
            <w:t xml:space="preserve"> of </w:t>
          </w:r>
          <w:r w:rsidRPr="00400FDD">
            <w:rPr>
              <w:sz w:val="16"/>
              <w:szCs w:val="16"/>
            </w:rPr>
            <w:fldChar w:fldCharType="begin"/>
          </w:r>
          <w:r w:rsidRPr="00400FDD">
            <w:rPr>
              <w:sz w:val="16"/>
              <w:szCs w:val="16"/>
            </w:rPr>
            <w:instrText xml:space="preserve"> NUMPAGES  \# "0" \* Arabic  \* MERGEFORMAT </w:instrText>
          </w:r>
          <w:r w:rsidRPr="00400FDD">
            <w:rPr>
              <w:sz w:val="16"/>
              <w:szCs w:val="16"/>
            </w:rPr>
            <w:fldChar w:fldCharType="separate"/>
          </w:r>
          <w:r w:rsidR="009F1A6B">
            <w:rPr>
              <w:noProof/>
              <w:sz w:val="16"/>
              <w:szCs w:val="16"/>
            </w:rPr>
            <w:t>2</w:t>
          </w:r>
          <w:r w:rsidRPr="00400FDD">
            <w:rPr>
              <w:sz w:val="16"/>
              <w:szCs w:val="16"/>
            </w:rPr>
            <w:fldChar w:fldCharType="end"/>
          </w:r>
        </w:p>
      </w:tc>
      <w:tc>
        <w:tcPr>
          <w:tcW w:w="1584" w:type="dxa"/>
          <w:tcBorders>
            <w:top w:val="single" w:sz="18" w:space="0" w:color="2A55AC"/>
          </w:tcBorders>
          <w:vAlign w:val="bottom"/>
        </w:tcPr>
        <w:p w:rsidR="00DC3F41" w:rsidRPr="00400FDD" w:rsidRDefault="0014794E" w:rsidP="00DA7511">
          <w:pPr>
            <w:ind w:left="-108" w:firstLine="108"/>
            <w:jc w:val="right"/>
            <w:rPr>
              <w:sz w:val="16"/>
              <w:szCs w:val="16"/>
            </w:rPr>
          </w:pPr>
          <w:r>
            <w:rPr>
              <w:sz w:val="16"/>
              <w:szCs w:val="16"/>
            </w:rPr>
            <w:t>09/01/22</w:t>
          </w:r>
        </w:p>
      </w:tc>
    </w:tr>
  </w:tbl>
  <w:p w:rsidR="00DC3F41" w:rsidRPr="003B53BF" w:rsidRDefault="00DC3F41" w:rsidP="00DC3F41">
    <w:pPr>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932" w:rsidRPr="003B53BF" w:rsidRDefault="00C36932" w:rsidP="00C36932">
    <w:pPr>
      <w:rPr>
        <w:sz w:val="8"/>
        <w:szCs w:val="8"/>
      </w:rPr>
    </w:pPr>
  </w:p>
  <w:tbl>
    <w:tblPr>
      <w:tblW w:w="10944" w:type="dxa"/>
      <w:jc w:val="center"/>
      <w:tblCellMar>
        <w:top w:w="14" w:type="dxa"/>
        <w:left w:w="0" w:type="dxa"/>
        <w:right w:w="0" w:type="dxa"/>
      </w:tblCellMar>
      <w:tblLook w:val="0000" w:firstRow="0" w:lastRow="0" w:firstColumn="0" w:lastColumn="0" w:noHBand="0" w:noVBand="0"/>
    </w:tblPr>
    <w:tblGrid>
      <w:gridCol w:w="1584"/>
      <w:gridCol w:w="7776"/>
      <w:gridCol w:w="1584"/>
    </w:tblGrid>
    <w:tr w:rsidR="00DC3F41" w:rsidRPr="00400FDD" w:rsidTr="00DC3F41">
      <w:trPr>
        <w:jc w:val="center"/>
      </w:trPr>
      <w:tc>
        <w:tcPr>
          <w:tcW w:w="1584" w:type="dxa"/>
          <w:tcBorders>
            <w:top w:val="single" w:sz="18" w:space="0" w:color="2A55AC"/>
          </w:tcBorders>
          <w:vAlign w:val="bottom"/>
        </w:tcPr>
        <w:p w:rsidR="00DC3F41" w:rsidRPr="00400FDD" w:rsidRDefault="007374E1" w:rsidP="00223B62">
          <w:pPr>
            <w:rPr>
              <w:sz w:val="16"/>
              <w:szCs w:val="16"/>
            </w:rPr>
          </w:pPr>
          <w:r>
            <w:rPr>
              <w:sz w:val="16"/>
              <w:szCs w:val="16"/>
            </w:rPr>
            <w:t>V04s</w:t>
          </w:r>
        </w:p>
      </w:tc>
      <w:tc>
        <w:tcPr>
          <w:tcW w:w="7776" w:type="dxa"/>
          <w:vMerge w:val="restart"/>
          <w:tcBorders>
            <w:top w:val="single" w:sz="18" w:space="0" w:color="2A55AC"/>
          </w:tcBorders>
          <w:vAlign w:val="center"/>
        </w:tcPr>
        <w:p w:rsidR="00DC3F41" w:rsidRPr="00400FDD" w:rsidRDefault="00DC3F41" w:rsidP="00DC3F41">
          <w:pPr>
            <w:jc w:val="center"/>
            <w:rPr>
              <w:sz w:val="16"/>
              <w:szCs w:val="16"/>
            </w:rPr>
          </w:pPr>
          <w:r w:rsidRPr="00400FDD">
            <w:rPr>
              <w:sz w:val="16"/>
              <w:szCs w:val="16"/>
            </w:rPr>
            <w:t xml:space="preserve">Page </w:t>
          </w:r>
          <w:r w:rsidRPr="00400FDD">
            <w:rPr>
              <w:sz w:val="16"/>
              <w:szCs w:val="16"/>
            </w:rPr>
            <w:fldChar w:fldCharType="begin"/>
          </w:r>
          <w:r w:rsidRPr="00400FDD">
            <w:rPr>
              <w:sz w:val="16"/>
              <w:szCs w:val="16"/>
            </w:rPr>
            <w:instrText xml:space="preserve"> PAGE  \* Arabic  \* MERGEFORMAT </w:instrText>
          </w:r>
          <w:r w:rsidRPr="00400FDD">
            <w:rPr>
              <w:sz w:val="16"/>
              <w:szCs w:val="16"/>
            </w:rPr>
            <w:fldChar w:fldCharType="separate"/>
          </w:r>
          <w:r w:rsidR="009F1A6B">
            <w:rPr>
              <w:noProof/>
              <w:sz w:val="16"/>
              <w:szCs w:val="16"/>
            </w:rPr>
            <w:t>1</w:t>
          </w:r>
          <w:r w:rsidRPr="00400FDD">
            <w:rPr>
              <w:sz w:val="16"/>
              <w:szCs w:val="16"/>
            </w:rPr>
            <w:fldChar w:fldCharType="end"/>
          </w:r>
          <w:r w:rsidRPr="00400FDD">
            <w:rPr>
              <w:sz w:val="16"/>
              <w:szCs w:val="16"/>
            </w:rPr>
            <w:t xml:space="preserve"> of </w:t>
          </w:r>
          <w:r w:rsidRPr="00400FDD">
            <w:rPr>
              <w:sz w:val="16"/>
              <w:szCs w:val="16"/>
            </w:rPr>
            <w:fldChar w:fldCharType="begin"/>
          </w:r>
          <w:r w:rsidRPr="00400FDD">
            <w:rPr>
              <w:sz w:val="16"/>
              <w:szCs w:val="16"/>
            </w:rPr>
            <w:instrText xml:space="preserve"> NUMPAGES  \# "0" \* Arabic  \* MERGEFORMAT </w:instrText>
          </w:r>
          <w:r w:rsidRPr="00400FDD">
            <w:rPr>
              <w:sz w:val="16"/>
              <w:szCs w:val="16"/>
            </w:rPr>
            <w:fldChar w:fldCharType="separate"/>
          </w:r>
          <w:r w:rsidR="009F1A6B">
            <w:rPr>
              <w:noProof/>
              <w:sz w:val="16"/>
              <w:szCs w:val="16"/>
            </w:rPr>
            <w:t>2</w:t>
          </w:r>
          <w:r w:rsidRPr="00400FDD">
            <w:rPr>
              <w:sz w:val="16"/>
              <w:szCs w:val="16"/>
            </w:rPr>
            <w:fldChar w:fldCharType="end"/>
          </w:r>
        </w:p>
      </w:tc>
      <w:tc>
        <w:tcPr>
          <w:tcW w:w="1584" w:type="dxa"/>
          <w:tcBorders>
            <w:top w:val="single" w:sz="18" w:space="0" w:color="2A55AC"/>
          </w:tcBorders>
          <w:vAlign w:val="bottom"/>
        </w:tcPr>
        <w:p w:rsidR="00DC3F41" w:rsidRPr="00400FDD" w:rsidRDefault="007E4AAD" w:rsidP="0014794E">
          <w:pPr>
            <w:ind w:left="-108" w:firstLine="108"/>
            <w:jc w:val="right"/>
            <w:rPr>
              <w:sz w:val="16"/>
              <w:szCs w:val="16"/>
            </w:rPr>
          </w:pPr>
          <w:r>
            <w:rPr>
              <w:sz w:val="16"/>
              <w:szCs w:val="16"/>
            </w:rPr>
            <w:t>0</w:t>
          </w:r>
          <w:r w:rsidR="0014794E">
            <w:rPr>
              <w:sz w:val="16"/>
              <w:szCs w:val="16"/>
            </w:rPr>
            <w:t>9</w:t>
          </w:r>
          <w:bookmarkStart w:id="0" w:name="_GoBack"/>
          <w:bookmarkEnd w:id="0"/>
          <w:r>
            <w:rPr>
              <w:sz w:val="16"/>
              <w:szCs w:val="16"/>
            </w:rPr>
            <w:t>/01/2022</w:t>
          </w:r>
        </w:p>
      </w:tc>
    </w:tr>
    <w:tr w:rsidR="00DC3F41" w:rsidRPr="00400FDD" w:rsidTr="005B1743">
      <w:trPr>
        <w:jc w:val="center"/>
      </w:trPr>
      <w:tc>
        <w:tcPr>
          <w:tcW w:w="1584" w:type="dxa"/>
          <w:vAlign w:val="bottom"/>
        </w:tcPr>
        <w:p w:rsidR="00DC3F41" w:rsidRPr="00400FDD" w:rsidRDefault="00DC3F41" w:rsidP="00223B62">
          <w:pPr>
            <w:rPr>
              <w:sz w:val="16"/>
              <w:szCs w:val="16"/>
            </w:rPr>
          </w:pPr>
          <w:r w:rsidRPr="00400FDD">
            <w:rPr>
              <w:noProof/>
              <w:sz w:val="16"/>
              <w:szCs w:val="16"/>
            </w:rPr>
            <w:drawing>
              <wp:inline distT="0" distB="0" distL="0" distR="0" wp14:anchorId="2AD1EDE0" wp14:editId="529F7574">
                <wp:extent cx="222584" cy="228600"/>
                <wp:effectExtent l="0" t="0" r="6350" b="0"/>
                <wp:docPr id="1" name="Picture 4" descr="wheelchai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eelchair.TIF"/>
                        <pic:cNvPicPr/>
                      </pic:nvPicPr>
                      <pic:blipFill>
                        <a:blip r:embed="rId1"/>
                        <a:stretch>
                          <a:fillRect/>
                        </a:stretch>
                      </pic:blipFill>
                      <pic:spPr>
                        <a:xfrm>
                          <a:off x="0" y="0"/>
                          <a:ext cx="222584" cy="228600"/>
                        </a:xfrm>
                        <a:prstGeom prst="rect">
                          <a:avLst/>
                        </a:prstGeom>
                      </pic:spPr>
                    </pic:pic>
                  </a:graphicData>
                </a:graphic>
              </wp:inline>
            </w:drawing>
          </w:r>
        </w:p>
      </w:tc>
      <w:tc>
        <w:tcPr>
          <w:tcW w:w="7776" w:type="dxa"/>
          <w:vMerge/>
          <w:vAlign w:val="center"/>
        </w:tcPr>
        <w:p w:rsidR="00DC3F41" w:rsidRPr="00400FDD" w:rsidRDefault="00DC3F41" w:rsidP="00223B62">
          <w:pPr>
            <w:jc w:val="center"/>
            <w:rPr>
              <w:rFonts w:cs="Arial"/>
              <w:sz w:val="16"/>
              <w:szCs w:val="16"/>
            </w:rPr>
          </w:pPr>
        </w:p>
      </w:tc>
      <w:tc>
        <w:tcPr>
          <w:tcW w:w="1584" w:type="dxa"/>
          <w:vAlign w:val="bottom"/>
        </w:tcPr>
        <w:p w:rsidR="00DC3F41" w:rsidRPr="00400FDD" w:rsidRDefault="00DC3F41" w:rsidP="00223B62">
          <w:pPr>
            <w:ind w:left="-108" w:firstLine="108"/>
            <w:jc w:val="right"/>
            <w:rPr>
              <w:sz w:val="16"/>
              <w:szCs w:val="16"/>
            </w:rPr>
          </w:pPr>
          <w:r w:rsidRPr="00400FDD">
            <w:rPr>
              <w:noProof/>
              <w:sz w:val="16"/>
              <w:szCs w:val="16"/>
            </w:rPr>
            <w:drawing>
              <wp:inline distT="0" distB="0" distL="0" distR="0" wp14:anchorId="4A69BD21" wp14:editId="55897A99">
                <wp:extent cx="216568" cy="228600"/>
                <wp:effectExtent l="0" t="0" r="0" b="0"/>
                <wp:docPr id="2" name="Picture 13" descr="fheo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eo125.gif"/>
                        <pic:cNvPicPr/>
                      </pic:nvPicPr>
                      <pic:blipFill>
                        <a:blip r:embed="rId2"/>
                        <a:stretch>
                          <a:fillRect/>
                        </a:stretch>
                      </pic:blipFill>
                      <pic:spPr>
                        <a:xfrm>
                          <a:off x="0" y="0"/>
                          <a:ext cx="216568" cy="228600"/>
                        </a:xfrm>
                        <a:prstGeom prst="rect">
                          <a:avLst/>
                        </a:prstGeom>
                      </pic:spPr>
                    </pic:pic>
                  </a:graphicData>
                </a:graphic>
              </wp:inline>
            </w:drawing>
          </w:r>
        </w:p>
      </w:tc>
    </w:tr>
  </w:tbl>
  <w:p w:rsidR="00C36932" w:rsidRPr="003B53BF" w:rsidRDefault="00C36932" w:rsidP="00C36932">
    <w:pP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787" w:rsidRDefault="00DC3787" w:rsidP="00787F7B">
      <w:r>
        <w:separator/>
      </w:r>
    </w:p>
  </w:footnote>
  <w:footnote w:type="continuationSeparator" w:id="0">
    <w:p w:rsidR="00DC3787" w:rsidRDefault="00DC3787" w:rsidP="00787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94E" w:rsidRDefault="00147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041" w:rsidRDefault="00EC4041" w:rsidP="00EC4041">
    <w:pPr>
      <w:pStyle w:val="Header"/>
      <w:spacing w:before="7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94E" w:rsidRDefault="00147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14917"/>
    <w:multiLevelType w:val="hybridMultilevel"/>
    <w:tmpl w:val="2C3EC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1F5C86"/>
    <w:multiLevelType w:val="hybridMultilevel"/>
    <w:tmpl w:val="A25E92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6BB4978"/>
    <w:multiLevelType w:val="hybridMultilevel"/>
    <w:tmpl w:val="5A24A36C"/>
    <w:lvl w:ilvl="0" w:tplc="5142A56E">
      <w:start w:val="1"/>
      <w:numFmt w:val="decimal"/>
      <w:lvlText w:val="%1."/>
      <w:lvlJc w:val="left"/>
      <w:pPr>
        <w:ind w:left="63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186EC5"/>
    <w:multiLevelType w:val="multilevel"/>
    <w:tmpl w:val="215C4E4E"/>
    <w:lvl w:ilvl="0">
      <w:start w:val="1"/>
      <w:numFmt w:val="none"/>
      <w:suff w:val="nothing"/>
      <w:lvlText w:val="Exhibit 5-1"/>
      <w:lvlJc w:val="left"/>
      <w:pPr>
        <w:ind w:left="0" w:firstLine="0"/>
      </w:pPr>
      <w:rPr>
        <w:rFonts w:ascii="Book Antiqua" w:hAnsi="Book Antiqua"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5-1.%2"/>
      <w:lvlJc w:val="left"/>
      <w:pPr>
        <w:ind w:left="360" w:hanging="360"/>
      </w:pPr>
      <w:rPr>
        <w:rFonts w:hint="default"/>
      </w:rPr>
    </w:lvl>
    <w:lvl w:ilvl="2">
      <w:start w:val="1"/>
      <w:numFmt w:val="upperLetter"/>
      <w:lvlText w:val="%15-1.%2.%3"/>
      <w:lvlJc w:val="left"/>
      <w:pPr>
        <w:ind w:left="360" w:hanging="36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1080" w:hanging="360"/>
      </w:pPr>
      <w:rPr>
        <w:rFonts w:hint="default"/>
      </w:rPr>
    </w:lvl>
    <w:lvl w:ilvl="5">
      <w:start w:val="1"/>
      <w:numFmt w:val="decimal"/>
      <w:lvlText w:val="%6)"/>
      <w:lvlJc w:val="left"/>
      <w:pPr>
        <w:ind w:left="1440" w:hanging="36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AB85AB3"/>
    <w:multiLevelType w:val="hybridMultilevel"/>
    <w:tmpl w:val="71C2BD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2"/>
    <w:lvlOverride w:ilvl="0">
      <w:startOverride w:val="1"/>
    </w:lvlOverride>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nL9ipxJpkSikuKPtG3jZgkAeYBnX7loNSzKkyi+Njzls2le+IlRw5jIdZYor9vl6zHBRdHpIbnRzOY5gQAZatQ==" w:salt="l9yHtzJVHE9El0hTV5Tqr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7B"/>
    <w:rsid w:val="0005053D"/>
    <w:rsid w:val="00051F63"/>
    <w:rsid w:val="000872B6"/>
    <w:rsid w:val="000C4F57"/>
    <w:rsid w:val="000F6900"/>
    <w:rsid w:val="00105EA9"/>
    <w:rsid w:val="001228A7"/>
    <w:rsid w:val="00124C56"/>
    <w:rsid w:val="0014794E"/>
    <w:rsid w:val="00163418"/>
    <w:rsid w:val="00173390"/>
    <w:rsid w:val="001A6309"/>
    <w:rsid w:val="001C27DE"/>
    <w:rsid w:val="001F2821"/>
    <w:rsid w:val="001F5AB0"/>
    <w:rsid w:val="00221EBF"/>
    <w:rsid w:val="002340BB"/>
    <w:rsid w:val="00235AC9"/>
    <w:rsid w:val="00246530"/>
    <w:rsid w:val="002646C7"/>
    <w:rsid w:val="00274142"/>
    <w:rsid w:val="002A0215"/>
    <w:rsid w:val="002C34A6"/>
    <w:rsid w:val="002C5B17"/>
    <w:rsid w:val="003106C3"/>
    <w:rsid w:val="00334E53"/>
    <w:rsid w:val="0037403D"/>
    <w:rsid w:val="003B3978"/>
    <w:rsid w:val="003C54F5"/>
    <w:rsid w:val="003D036E"/>
    <w:rsid w:val="003D4C4A"/>
    <w:rsid w:val="00425999"/>
    <w:rsid w:val="004357DF"/>
    <w:rsid w:val="004402BA"/>
    <w:rsid w:val="0044151D"/>
    <w:rsid w:val="004B2F85"/>
    <w:rsid w:val="004E2449"/>
    <w:rsid w:val="004E77FA"/>
    <w:rsid w:val="00516FA9"/>
    <w:rsid w:val="00560C5F"/>
    <w:rsid w:val="005816A7"/>
    <w:rsid w:val="00586556"/>
    <w:rsid w:val="005B1743"/>
    <w:rsid w:val="005D0D3B"/>
    <w:rsid w:val="005E6184"/>
    <w:rsid w:val="005F0E32"/>
    <w:rsid w:val="0060526A"/>
    <w:rsid w:val="006110C9"/>
    <w:rsid w:val="00633F4F"/>
    <w:rsid w:val="00635BE6"/>
    <w:rsid w:val="00646EEB"/>
    <w:rsid w:val="00684A33"/>
    <w:rsid w:val="006B3048"/>
    <w:rsid w:val="006F5915"/>
    <w:rsid w:val="006F6F6A"/>
    <w:rsid w:val="00707287"/>
    <w:rsid w:val="007077CB"/>
    <w:rsid w:val="00716A03"/>
    <w:rsid w:val="0072278C"/>
    <w:rsid w:val="007374E1"/>
    <w:rsid w:val="007767FE"/>
    <w:rsid w:val="00787F7B"/>
    <w:rsid w:val="007B3722"/>
    <w:rsid w:val="007B5F43"/>
    <w:rsid w:val="007E0DF7"/>
    <w:rsid w:val="007E4AAD"/>
    <w:rsid w:val="007E55BC"/>
    <w:rsid w:val="008070F4"/>
    <w:rsid w:val="00850F5E"/>
    <w:rsid w:val="008736BD"/>
    <w:rsid w:val="008779E5"/>
    <w:rsid w:val="008851B7"/>
    <w:rsid w:val="00890F63"/>
    <w:rsid w:val="008A4305"/>
    <w:rsid w:val="008B23DE"/>
    <w:rsid w:val="008D7B80"/>
    <w:rsid w:val="008F5B81"/>
    <w:rsid w:val="0092250E"/>
    <w:rsid w:val="009241EC"/>
    <w:rsid w:val="00924548"/>
    <w:rsid w:val="009409B6"/>
    <w:rsid w:val="00942127"/>
    <w:rsid w:val="00974931"/>
    <w:rsid w:val="009B35C7"/>
    <w:rsid w:val="009D5D66"/>
    <w:rsid w:val="009F1A6B"/>
    <w:rsid w:val="00A60713"/>
    <w:rsid w:val="00A672AB"/>
    <w:rsid w:val="00A76C56"/>
    <w:rsid w:val="00AC49E5"/>
    <w:rsid w:val="00AD3B8E"/>
    <w:rsid w:val="00AD599A"/>
    <w:rsid w:val="00B11634"/>
    <w:rsid w:val="00B85B73"/>
    <w:rsid w:val="00B85C54"/>
    <w:rsid w:val="00B97D08"/>
    <w:rsid w:val="00BA60FC"/>
    <w:rsid w:val="00BD4FE1"/>
    <w:rsid w:val="00C037D0"/>
    <w:rsid w:val="00C36932"/>
    <w:rsid w:val="00C57653"/>
    <w:rsid w:val="00C623CE"/>
    <w:rsid w:val="00C8507C"/>
    <w:rsid w:val="00CF3860"/>
    <w:rsid w:val="00D072A2"/>
    <w:rsid w:val="00D3285B"/>
    <w:rsid w:val="00D64F31"/>
    <w:rsid w:val="00D77760"/>
    <w:rsid w:val="00DC2C73"/>
    <w:rsid w:val="00DC3787"/>
    <w:rsid w:val="00DC3F41"/>
    <w:rsid w:val="00E22B76"/>
    <w:rsid w:val="00E513A0"/>
    <w:rsid w:val="00E5387D"/>
    <w:rsid w:val="00E53BD9"/>
    <w:rsid w:val="00E73DDD"/>
    <w:rsid w:val="00E850DA"/>
    <w:rsid w:val="00EB49CA"/>
    <w:rsid w:val="00EC095B"/>
    <w:rsid w:val="00EC4041"/>
    <w:rsid w:val="00EC4EF9"/>
    <w:rsid w:val="00EE21A9"/>
    <w:rsid w:val="00EF41F5"/>
    <w:rsid w:val="00EF5710"/>
    <w:rsid w:val="00F34B2D"/>
    <w:rsid w:val="00F4547D"/>
    <w:rsid w:val="00F66986"/>
    <w:rsid w:val="00F67B1A"/>
    <w:rsid w:val="00F94D19"/>
    <w:rsid w:val="00FD13A2"/>
    <w:rsid w:val="00FF382E"/>
    <w:rsid w:val="00FF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182152"/>
  <w15:docId w15:val="{219E0AF1-1145-4557-A38A-882914ED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B5F43"/>
    <w:pPr>
      <w:spacing w:after="0" w:line="240" w:lineRule="auto"/>
    </w:pPr>
    <w:rPr>
      <w:rFonts w:ascii="Franklin Gothic Book" w:eastAsiaTheme="minorHAnsi" w:hAnsi="Franklin Gothic Book" w:cs="Times New Roman"/>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F7B"/>
    <w:pPr>
      <w:tabs>
        <w:tab w:val="center" w:pos="4680"/>
        <w:tab w:val="right" w:pos="9360"/>
      </w:tabs>
    </w:pPr>
  </w:style>
  <w:style w:type="character" w:customStyle="1" w:styleId="HeaderChar">
    <w:name w:val="Header Char"/>
    <w:basedOn w:val="DefaultParagraphFont"/>
    <w:link w:val="Header"/>
    <w:uiPriority w:val="99"/>
    <w:rsid w:val="00787F7B"/>
    <w:rPr>
      <w:rFonts w:ascii="Garamond" w:eastAsiaTheme="minorHAnsi" w:hAnsi="Garamond" w:cs="Times New Roman"/>
      <w:sz w:val="24"/>
      <w:szCs w:val="24"/>
    </w:rPr>
  </w:style>
  <w:style w:type="paragraph" w:styleId="Footer">
    <w:name w:val="footer"/>
    <w:basedOn w:val="Normal"/>
    <w:link w:val="FooterChar"/>
    <w:unhideWhenUsed/>
    <w:rsid w:val="00787F7B"/>
    <w:pPr>
      <w:tabs>
        <w:tab w:val="center" w:pos="4680"/>
        <w:tab w:val="right" w:pos="9360"/>
      </w:tabs>
    </w:pPr>
  </w:style>
  <w:style w:type="character" w:customStyle="1" w:styleId="FooterChar">
    <w:name w:val="Footer Char"/>
    <w:basedOn w:val="DefaultParagraphFont"/>
    <w:link w:val="Footer"/>
    <w:rsid w:val="00787F7B"/>
    <w:rPr>
      <w:rFonts w:ascii="Garamond" w:eastAsiaTheme="minorHAnsi" w:hAnsi="Garamond" w:cs="Times New Roman"/>
      <w:sz w:val="24"/>
      <w:szCs w:val="24"/>
    </w:rPr>
  </w:style>
  <w:style w:type="paragraph" w:styleId="BalloonText">
    <w:name w:val="Balloon Text"/>
    <w:basedOn w:val="Normal"/>
    <w:link w:val="BalloonTextChar"/>
    <w:uiPriority w:val="99"/>
    <w:semiHidden/>
    <w:unhideWhenUsed/>
    <w:rsid w:val="00787F7B"/>
    <w:rPr>
      <w:rFonts w:ascii="Tahoma" w:hAnsi="Tahoma" w:cs="Tahoma"/>
      <w:sz w:val="16"/>
      <w:szCs w:val="16"/>
    </w:rPr>
  </w:style>
  <w:style w:type="character" w:customStyle="1" w:styleId="BalloonTextChar">
    <w:name w:val="Balloon Text Char"/>
    <w:basedOn w:val="DefaultParagraphFont"/>
    <w:link w:val="BalloonText"/>
    <w:uiPriority w:val="99"/>
    <w:semiHidden/>
    <w:rsid w:val="00787F7B"/>
    <w:rPr>
      <w:rFonts w:ascii="Tahoma" w:eastAsiaTheme="minorHAnsi" w:hAnsi="Tahoma" w:cs="Tahoma"/>
      <w:sz w:val="16"/>
      <w:szCs w:val="16"/>
    </w:rPr>
  </w:style>
  <w:style w:type="table" w:styleId="TableGrid">
    <w:name w:val="Table Grid"/>
    <w:basedOn w:val="TableNormal"/>
    <w:rsid w:val="00787F7B"/>
    <w:pPr>
      <w:spacing w:after="0" w:line="240" w:lineRule="auto"/>
    </w:pPr>
    <w:rPr>
      <w:rFonts w:ascii="Garamond" w:eastAsiaTheme="minorHAnsi"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787F7B"/>
    <w:pPr>
      <w:ind w:left="720"/>
    </w:pPr>
  </w:style>
  <w:style w:type="character" w:styleId="CommentReference">
    <w:name w:val="annotation reference"/>
    <w:basedOn w:val="DefaultParagraphFont"/>
    <w:uiPriority w:val="99"/>
    <w:semiHidden/>
    <w:unhideWhenUsed/>
    <w:rsid w:val="00C623CE"/>
    <w:rPr>
      <w:sz w:val="16"/>
      <w:szCs w:val="16"/>
    </w:rPr>
  </w:style>
  <w:style w:type="paragraph" w:styleId="CommentText">
    <w:name w:val="annotation text"/>
    <w:basedOn w:val="Normal"/>
    <w:link w:val="CommentTextChar"/>
    <w:uiPriority w:val="99"/>
    <w:semiHidden/>
    <w:unhideWhenUsed/>
    <w:rsid w:val="00C623CE"/>
    <w:rPr>
      <w:sz w:val="20"/>
      <w:szCs w:val="20"/>
    </w:rPr>
  </w:style>
  <w:style w:type="character" w:customStyle="1" w:styleId="CommentTextChar">
    <w:name w:val="Comment Text Char"/>
    <w:basedOn w:val="DefaultParagraphFont"/>
    <w:link w:val="CommentText"/>
    <w:uiPriority w:val="99"/>
    <w:semiHidden/>
    <w:rsid w:val="00C623CE"/>
    <w:rPr>
      <w:rFonts w:ascii="Franklin Gothic Book" w:eastAsiaTheme="minorHAnsi" w:hAnsi="Franklin Gothic Book"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623CE"/>
    <w:rPr>
      <w:b/>
      <w:bCs/>
    </w:rPr>
  </w:style>
  <w:style w:type="character" w:customStyle="1" w:styleId="CommentSubjectChar">
    <w:name w:val="Comment Subject Char"/>
    <w:basedOn w:val="CommentTextChar"/>
    <w:link w:val="CommentSubject"/>
    <w:uiPriority w:val="99"/>
    <w:semiHidden/>
    <w:rsid w:val="00C623CE"/>
    <w:rPr>
      <w:rFonts w:ascii="Franklin Gothic Book" w:eastAsiaTheme="minorHAnsi" w:hAnsi="Franklin Gothic Book" w:cs="Times New Roman"/>
      <w:b/>
      <w:bCs/>
      <w:color w:val="000000" w:themeColor="text1"/>
      <w:sz w:val="20"/>
      <w:szCs w:val="20"/>
    </w:rPr>
  </w:style>
  <w:style w:type="paragraph" w:customStyle="1" w:styleId="HBBody">
    <w:name w:val="HB_Body"/>
    <w:basedOn w:val="Normal"/>
    <w:qFormat/>
    <w:rsid w:val="00A672AB"/>
    <w:rPr>
      <w:rFonts w:eastAsia="Times New Roman"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433</Words>
  <Characters>2470</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Alaska Housing Finance Corporation</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Stantorf</dc:creator>
  <cp:lastModifiedBy>Korene Jerome</cp:lastModifiedBy>
  <cp:revision>30</cp:revision>
  <cp:lastPrinted>2014-07-07T21:00:00Z</cp:lastPrinted>
  <dcterms:created xsi:type="dcterms:W3CDTF">2014-05-21T18:52:00Z</dcterms:created>
  <dcterms:modified xsi:type="dcterms:W3CDTF">2022-08-19T21:44:00Z</dcterms:modified>
</cp:coreProperties>
</file>