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0A249" w14:textId="4A2A155A" w:rsidR="00F303D5" w:rsidRPr="00F303D5" w:rsidRDefault="00DF7FAC" w:rsidP="00F303D5">
      <w:pPr>
        <w:pStyle w:val="3aBody"/>
        <w:jc w:val="center"/>
        <w:rPr>
          <w:rFonts w:ascii="Franklin Gothic Demi" w:eastAsiaTheme="minorHAnsi" w:hAnsi="Franklin Gothic Demi"/>
          <w:color w:val="0063A8"/>
          <w:sz w:val="36"/>
          <w:szCs w:val="36"/>
        </w:rPr>
      </w:pPr>
      <w:r>
        <w:rPr>
          <w:rFonts w:ascii="Franklin Gothic Demi" w:eastAsiaTheme="minorHAnsi" w:hAnsi="Franklin Gothic Demi"/>
          <w:color w:val="0063A8"/>
          <w:sz w:val="36"/>
          <w:szCs w:val="36"/>
        </w:rPr>
        <w:t>Exhibit 11-13</w:t>
      </w:r>
    </w:p>
    <w:p w14:paraId="4B8FB9D1" w14:textId="4419E3D1" w:rsidR="00F303D5" w:rsidRPr="002B1FF2" w:rsidRDefault="002554C3" w:rsidP="002554C3">
      <w:pPr>
        <w:pStyle w:val="3aBody"/>
        <w:jc w:val="center"/>
      </w:pPr>
      <w:r w:rsidRPr="002554C3">
        <w:rPr>
          <w:rFonts w:ascii="Franklin Gothic Demi" w:eastAsiaTheme="minorHAnsi" w:hAnsi="Franklin Gothic Demi"/>
          <w:color w:val="0063A8"/>
          <w:sz w:val="28"/>
          <w:szCs w:val="28"/>
        </w:rPr>
        <w:t>Stability Voucher (SV) Program</w:t>
      </w:r>
    </w:p>
    <w:p w14:paraId="5AAC397E" w14:textId="77777777" w:rsidR="002554C3" w:rsidRPr="007A36EF" w:rsidRDefault="002554C3" w:rsidP="002554C3">
      <w:pPr>
        <w:pStyle w:val="0Head"/>
        <w:rPr>
          <w:rFonts w:ascii="Book Antiqua" w:hAnsi="Book Antiqua"/>
          <w:b/>
        </w:rPr>
      </w:pPr>
      <w:r>
        <w:rPr>
          <w:rFonts w:ascii="Book Antiqua" w:hAnsi="Book Antiqua"/>
          <w:b/>
        </w:rPr>
        <w:tab/>
      </w:r>
    </w:p>
    <w:p w14:paraId="2F7B8C1D" w14:textId="77777777" w:rsidR="002554C3" w:rsidRDefault="002554C3" w:rsidP="002554C3">
      <w:pPr>
        <w:pStyle w:val="3aBody"/>
      </w:pPr>
      <w:r w:rsidRPr="007A36EF">
        <w:t>Rental assistance for ind</w:t>
      </w:r>
      <w:r w:rsidRPr="007A36EF">
        <w:rPr>
          <w:color w:val="000000"/>
          <w:shd w:val="clear" w:color="auto" w:fill="FFFFFF"/>
        </w:rPr>
        <w:t xml:space="preserve">ividuals and families who are </w:t>
      </w:r>
      <w:r>
        <w:rPr>
          <w:color w:val="000000"/>
          <w:shd w:val="clear" w:color="auto" w:fill="FFFFFF"/>
        </w:rPr>
        <w:t xml:space="preserve">experiencing or at-risk of </w:t>
      </w:r>
      <w:r w:rsidRPr="007A36EF">
        <w:rPr>
          <w:color w:val="000000"/>
          <w:shd w:val="clear" w:color="auto" w:fill="FFFFFF"/>
        </w:rPr>
        <w:t>homeless</w:t>
      </w:r>
      <w:r>
        <w:rPr>
          <w:color w:val="000000"/>
          <w:shd w:val="clear" w:color="auto" w:fill="FFFFFF"/>
        </w:rPr>
        <w:t>ness</w:t>
      </w:r>
      <w:r w:rsidRPr="007A36EF">
        <w:rPr>
          <w:color w:val="000000"/>
          <w:shd w:val="clear" w:color="auto" w:fill="FFFFFF"/>
        </w:rPr>
        <w:t xml:space="preserve">, fleeing or attempting to flee domestic violence, dating violence, sexual assault, </w:t>
      </w:r>
      <w:r>
        <w:rPr>
          <w:color w:val="000000"/>
          <w:shd w:val="clear" w:color="auto" w:fill="FFFFFF"/>
        </w:rPr>
        <w:t>stalking, or human trafficking and veterans and families that meet one of the preceding criteria was authorized in the C</w:t>
      </w:r>
      <w:r>
        <w:t>onsolidated Appropriations Act, 2021 (Public Law 116-260) (2021 Act).</w:t>
      </w:r>
    </w:p>
    <w:p w14:paraId="31BAEF0E" w14:textId="77777777" w:rsidR="002554C3" w:rsidRPr="007A36EF" w:rsidRDefault="002554C3" w:rsidP="002554C3">
      <w:pPr>
        <w:pStyle w:val="3aBody"/>
      </w:pPr>
    </w:p>
    <w:p w14:paraId="6B71C09A" w14:textId="77777777" w:rsidR="002554C3" w:rsidRDefault="002554C3" w:rsidP="002554C3">
      <w:pPr>
        <w:pStyle w:val="3aBody"/>
      </w:pPr>
      <w:r w:rsidRPr="007A36EF">
        <w:t xml:space="preserve">AHFC signed a Memorandum of Understanding for </w:t>
      </w:r>
      <w:r>
        <w:t xml:space="preserve">Stability Voucher with the </w:t>
      </w:r>
      <w:r w:rsidRPr="002A742D">
        <w:t>Alaska Coalition on Housing and Homelessness</w:t>
      </w:r>
      <w:r>
        <w:t xml:space="preserve">. </w:t>
      </w:r>
      <w:r w:rsidRPr="007A36EF">
        <w:t xml:space="preserve">AHFC agrees to administer the program and the </w:t>
      </w:r>
      <w:r>
        <w:t>balance of s</w:t>
      </w:r>
      <w:r w:rsidRPr="007A36EF">
        <w:t xml:space="preserve">tate Continuum of Care </w:t>
      </w:r>
      <w:r>
        <w:t xml:space="preserve">(CoC), the </w:t>
      </w:r>
      <w:r w:rsidRPr="002A742D">
        <w:t>Alaska Coalition on Housing and Homelessness</w:t>
      </w:r>
      <w:r>
        <w:t>, will make direct referrals of qualifying individuals and families</w:t>
      </w:r>
    </w:p>
    <w:p w14:paraId="05F6CFF5" w14:textId="77777777" w:rsidR="002554C3" w:rsidRPr="007A36EF" w:rsidRDefault="002554C3" w:rsidP="002554C3">
      <w:pPr>
        <w:pStyle w:val="3aBody"/>
      </w:pPr>
      <w:r>
        <w:t>and identify any CoC-funded available supportive services.</w:t>
      </w:r>
    </w:p>
    <w:p w14:paraId="68948ECB" w14:textId="77777777" w:rsidR="002554C3" w:rsidRPr="007A36EF" w:rsidRDefault="002554C3" w:rsidP="002554C3">
      <w:pPr>
        <w:pStyle w:val="3aBody"/>
      </w:pPr>
    </w:p>
    <w:p w14:paraId="2636E2B5" w14:textId="77777777" w:rsidR="002554C3" w:rsidRPr="007A36EF" w:rsidRDefault="002554C3" w:rsidP="002554C3">
      <w:pPr>
        <w:pStyle w:val="1Level11"/>
        <w:rPr>
          <w:rFonts w:ascii="Book Antiqua" w:hAnsi="Book Antiqua"/>
          <w:b/>
        </w:rPr>
      </w:pPr>
      <w:bookmarkStart w:id="0" w:name="_Toc510171698"/>
      <w:bookmarkStart w:id="1" w:name="_Toc94544688"/>
      <w:r w:rsidRPr="007A36EF">
        <w:rPr>
          <w:rFonts w:ascii="Book Antiqua" w:hAnsi="Book Antiqua"/>
          <w:b/>
        </w:rPr>
        <w:t>Voucher Increments</w:t>
      </w:r>
      <w:bookmarkEnd w:id="0"/>
      <w:bookmarkEnd w:id="1"/>
    </w:p>
    <w:p w14:paraId="22A3EEE1" w14:textId="77777777" w:rsidR="002554C3" w:rsidRPr="007A36EF" w:rsidRDefault="002554C3" w:rsidP="002554C3">
      <w:pPr>
        <w:pStyle w:val="3aBody"/>
      </w:pPr>
      <w:r w:rsidRPr="007A36EF">
        <w:t>AHFC received an allocation of 1</w:t>
      </w:r>
      <w:r>
        <w:t>0 Stability Vouchers from t</w:t>
      </w:r>
      <w:r w:rsidRPr="007A36EF">
        <w:t>he U.S. Department of Housing and Urban Development on Ju</w:t>
      </w:r>
      <w:r>
        <w:t xml:space="preserve">ne 5, 2023. </w:t>
      </w:r>
    </w:p>
    <w:p w14:paraId="060FFF44" w14:textId="77777777" w:rsidR="002554C3" w:rsidRPr="007A36EF" w:rsidRDefault="002554C3" w:rsidP="002554C3">
      <w:pPr>
        <w:pStyle w:val="3aBody"/>
      </w:pPr>
    </w:p>
    <w:p w14:paraId="2EC078CB" w14:textId="77777777" w:rsidR="002554C3" w:rsidRDefault="002554C3" w:rsidP="002554C3">
      <w:pPr>
        <w:pStyle w:val="3aBody"/>
      </w:pPr>
      <w:r w:rsidRPr="007A36EF">
        <w:t xml:space="preserve">The allocation of </w:t>
      </w:r>
      <w:r>
        <w:t>10</w:t>
      </w:r>
      <w:r w:rsidRPr="007A36EF">
        <w:t xml:space="preserve"> vouchers shall be</w:t>
      </w:r>
      <w:r>
        <w:t xml:space="preserve"> utilized in voucher communities in the balance of the state to include Homer, Fairbanks, Juneau, Ketchikan, Kodiak, Matsu, Petersburg, Sitka, Soldotna, and Wrangell. </w:t>
      </w:r>
    </w:p>
    <w:p w14:paraId="28E6DA37" w14:textId="77777777" w:rsidR="002554C3" w:rsidRPr="007A36EF" w:rsidRDefault="002554C3" w:rsidP="002554C3">
      <w:pPr>
        <w:pStyle w:val="3aBody"/>
      </w:pPr>
    </w:p>
    <w:p w14:paraId="3B4E3AFC" w14:textId="4B81E819" w:rsidR="002554C3" w:rsidRPr="007A36EF" w:rsidRDefault="002554C3" w:rsidP="00DF7FAC">
      <w:pPr>
        <w:pStyle w:val="2Level21A"/>
      </w:pPr>
      <w:r w:rsidRPr="007A36EF">
        <w:t>Administration</w:t>
      </w:r>
    </w:p>
    <w:p w14:paraId="4339A891" w14:textId="77777777" w:rsidR="002554C3" w:rsidRPr="007A36EF" w:rsidRDefault="002554C3" w:rsidP="002554C3">
      <w:pPr>
        <w:pStyle w:val="3aBody"/>
      </w:pPr>
      <w:r w:rsidRPr="007A36EF">
        <w:t xml:space="preserve">AHFC will administer </w:t>
      </w:r>
      <w:r>
        <w:t>S</w:t>
      </w:r>
      <w:r w:rsidRPr="007A36EF">
        <w:t>V vouchers under the same rules as a Moving to Work Set Aside Program Voucher except as described in the sections below.  In general,</w:t>
      </w:r>
    </w:p>
    <w:p w14:paraId="1604A669" w14:textId="77777777" w:rsidR="002554C3" w:rsidRPr="007A36EF" w:rsidRDefault="002554C3" w:rsidP="002554C3">
      <w:pPr>
        <w:pStyle w:val="3b1BodyNum"/>
      </w:pPr>
      <w:r>
        <w:t>SV</w:t>
      </w:r>
      <w:r w:rsidRPr="007A36EF">
        <w:t xml:space="preserve">V vouchers are issued </w:t>
      </w:r>
      <w:r>
        <w:t xml:space="preserve">to </w:t>
      </w:r>
      <w:r w:rsidRPr="007A36EF">
        <w:t>AKCH2 referrals only.</w:t>
      </w:r>
    </w:p>
    <w:p w14:paraId="4B70B48E" w14:textId="77777777" w:rsidR="002554C3" w:rsidRPr="007A36EF" w:rsidRDefault="002554C3" w:rsidP="002554C3">
      <w:pPr>
        <w:pStyle w:val="3b1BodyNum"/>
      </w:pPr>
      <w:r>
        <w:t>S</w:t>
      </w:r>
      <w:r w:rsidRPr="007A36EF">
        <w:t>V</w:t>
      </w:r>
      <w:r w:rsidRPr="007A36EF">
        <w:rPr>
          <w:color w:val="FF0000"/>
        </w:rPr>
        <w:t xml:space="preserve"> </w:t>
      </w:r>
      <w:r w:rsidRPr="007A36EF">
        <w:t>vouchers returned to AHFC must be</w:t>
      </w:r>
      <w:r>
        <w:t xml:space="preserve"> offered to the next eligible S</w:t>
      </w:r>
      <w:r w:rsidRPr="007A36EF">
        <w:t>V referral until the termination date indicated in Section 9.</w:t>
      </w:r>
    </w:p>
    <w:p w14:paraId="3DCB7E15" w14:textId="77777777" w:rsidR="002554C3" w:rsidRPr="007A36EF" w:rsidRDefault="002554C3" w:rsidP="002554C3">
      <w:pPr>
        <w:pStyle w:val="3b1BodyNum"/>
      </w:pPr>
      <w:r>
        <w:t>S</w:t>
      </w:r>
      <w:r w:rsidRPr="007A36EF">
        <w:t>V vouchers have its own monthly budget report as these vouchers have a separate funding stream. These vouchers are in addition to each office’s regular voucher allocation.</w:t>
      </w:r>
    </w:p>
    <w:p w14:paraId="42B0C4F2" w14:textId="77777777" w:rsidR="002554C3" w:rsidRPr="007A36EF" w:rsidRDefault="002554C3" w:rsidP="002554C3">
      <w:pPr>
        <w:pStyle w:val="3b1BodyNum"/>
      </w:pPr>
      <w:r>
        <w:t>S</w:t>
      </w:r>
      <w:r w:rsidRPr="007A36EF">
        <w:t xml:space="preserve">V families may transfer to another AHFC voucher area by following AHFC’s waivers in Section 8.A. </w:t>
      </w:r>
    </w:p>
    <w:p w14:paraId="12803F2D" w14:textId="77777777" w:rsidR="002554C3" w:rsidRPr="007A36EF" w:rsidRDefault="002554C3" w:rsidP="002554C3">
      <w:pPr>
        <w:pStyle w:val="3b1BodyNum"/>
      </w:pPr>
      <w:r>
        <w:t>S</w:t>
      </w:r>
      <w:r w:rsidRPr="007A36EF">
        <w:t xml:space="preserve">V vouchers are eligible for portability out of the state of Alaska by following AHFC’s waivers in Section 8.B. </w:t>
      </w:r>
    </w:p>
    <w:p w14:paraId="5D044ADB" w14:textId="4024A1E1" w:rsidR="002554C3" w:rsidRPr="007A36EF" w:rsidRDefault="002554C3" w:rsidP="002554C3">
      <w:pPr>
        <w:pStyle w:val="3b1BodyNum"/>
      </w:pPr>
      <w:r w:rsidRPr="007A36EF">
        <w:t>These vouchers are reported to HUD. This means staff are required to follow Enterprise Income Verification (EIV) procedures.</w:t>
      </w:r>
    </w:p>
    <w:p w14:paraId="08B8A587" w14:textId="751D9861" w:rsidR="002554C3" w:rsidRPr="00DF7FAC" w:rsidRDefault="002554C3" w:rsidP="00DF7FAC">
      <w:pPr>
        <w:pStyle w:val="2Level21A"/>
      </w:pPr>
      <w:bookmarkStart w:id="2" w:name="_Toc510171700"/>
      <w:bookmarkStart w:id="3" w:name="_Toc94544690"/>
      <w:r w:rsidRPr="00DF7FAC">
        <w:lastRenderedPageBreak/>
        <w:t>Moving to Work Agencies</w:t>
      </w:r>
      <w:bookmarkEnd w:id="2"/>
      <w:bookmarkEnd w:id="3"/>
    </w:p>
    <w:p w14:paraId="2EB2EA16" w14:textId="77777777" w:rsidR="002554C3" w:rsidRPr="00DF7FAC" w:rsidRDefault="002554C3" w:rsidP="00DF7FAC">
      <w:pPr>
        <w:pStyle w:val="6PolicyTitle"/>
      </w:pPr>
      <w:r w:rsidRPr="00DF7FAC">
        <w:t>HUD Guidance</w:t>
      </w:r>
    </w:p>
    <w:p w14:paraId="20CB10C1" w14:textId="77777777" w:rsidR="002554C3" w:rsidRPr="007A36EF" w:rsidRDefault="002554C3" w:rsidP="002554C3">
      <w:pPr>
        <w:pStyle w:val="6aPolicyTxt"/>
      </w:pPr>
      <w:r>
        <w:t>MTW agencies that administer S</w:t>
      </w:r>
      <w:r w:rsidRPr="007A36EF">
        <w:t xml:space="preserve">Vs are bound by the terms and conditions of </w:t>
      </w:r>
      <w:hyperlink r:id="rId7" w:history="1">
        <w:r>
          <w:rPr>
            <w:rStyle w:val="Hyperlink"/>
          </w:rPr>
          <w:t>PIH Notice 2022-24</w:t>
        </w:r>
      </w:hyperlink>
      <w:r w:rsidRPr="007A36EF">
        <w:t xml:space="preserve">. These vouchers are not eligible for MTW fungibility but must only be used for </w:t>
      </w:r>
      <w:r>
        <w:t>SV</w:t>
      </w:r>
      <w:r w:rsidRPr="007A36EF">
        <w:t xml:space="preserve"> </w:t>
      </w:r>
      <w:r w:rsidRPr="000B777F">
        <w:t>eligible activities</w:t>
      </w:r>
      <w:r>
        <w:t xml:space="preserve"> and to assist S</w:t>
      </w:r>
      <w:r w:rsidRPr="007A36EF">
        <w:t>V</w:t>
      </w:r>
      <w:r>
        <w:t xml:space="preserve"> </w:t>
      </w:r>
      <w:r w:rsidRPr="007A36EF">
        <w:t xml:space="preserve">eligible families.  </w:t>
      </w:r>
    </w:p>
    <w:p w14:paraId="294E8FE3" w14:textId="77777777" w:rsidR="002554C3" w:rsidRPr="007A36EF" w:rsidRDefault="002554C3" w:rsidP="002554C3">
      <w:pPr>
        <w:pStyle w:val="3aBody"/>
      </w:pPr>
    </w:p>
    <w:p w14:paraId="45F2ADCA" w14:textId="60336DA8" w:rsidR="002554C3" w:rsidRPr="00DF7FAC" w:rsidRDefault="002554C3" w:rsidP="00DF7FAC">
      <w:pPr>
        <w:pStyle w:val="2Level21A"/>
      </w:pPr>
      <w:bookmarkStart w:id="4" w:name="_Toc510171701"/>
      <w:bookmarkStart w:id="5" w:name="_Toc94544691"/>
      <w:r w:rsidRPr="00DF7FAC">
        <w:t>Project-Based Assistance</w:t>
      </w:r>
      <w:bookmarkEnd w:id="4"/>
      <w:bookmarkEnd w:id="5"/>
    </w:p>
    <w:p w14:paraId="0A01EC50" w14:textId="77777777" w:rsidR="002554C3" w:rsidRDefault="002554C3" w:rsidP="002554C3">
      <w:pPr>
        <w:pStyle w:val="3aBody"/>
      </w:pPr>
      <w:r>
        <w:t>A</w:t>
      </w:r>
      <w:r w:rsidRPr="00FF2DD0">
        <w:t>ll tenant-based SV awards can be converted to Project-Based Vouchers (PBV) at any time after award without HUD approval provided all the established PBV regulations and requirements are followed. No additional HUD Headquarters approvals are required for project basing HUD-VASH vouchers beyond the normal process. All PBV requirements in 24 CFR part 983 apply for SVs except where waived as described below. The HCV regulations at 24 CFR § 983.251(c)(1) require PHAs to select families for project-based units from its HCV waiting list (or PBV waiting list, if applicable). HUD is waiving this requirement and establishing an alternative requirement that PHAs receive SV referrals from CoC partners for vouchers as well as project-based assistance.</w:t>
      </w:r>
    </w:p>
    <w:p w14:paraId="06D368F2" w14:textId="77777777" w:rsidR="002554C3" w:rsidRPr="007A36EF" w:rsidRDefault="002554C3" w:rsidP="002554C3">
      <w:pPr>
        <w:rPr>
          <w:rFonts w:eastAsia="Calibri" w:cstheme="minorBidi"/>
        </w:rPr>
      </w:pPr>
    </w:p>
    <w:p w14:paraId="776DC202" w14:textId="75EB0FCA" w:rsidR="002554C3" w:rsidRPr="007A36EF" w:rsidRDefault="002554C3" w:rsidP="00DF7FAC">
      <w:pPr>
        <w:pStyle w:val="2Level21A"/>
      </w:pPr>
      <w:bookmarkStart w:id="6" w:name="_Toc318792916"/>
      <w:bookmarkStart w:id="7" w:name="_Toc377120575"/>
      <w:bookmarkStart w:id="8" w:name="_Toc402187968"/>
      <w:bookmarkStart w:id="9" w:name="_Toc536628060"/>
      <w:bookmarkStart w:id="10" w:name="_Toc536628087"/>
      <w:r w:rsidRPr="007A36EF">
        <w:t>Program Locations</w:t>
      </w:r>
      <w:bookmarkEnd w:id="6"/>
      <w:bookmarkEnd w:id="7"/>
      <w:bookmarkEnd w:id="8"/>
      <w:bookmarkEnd w:id="9"/>
      <w:bookmarkEnd w:id="10"/>
    </w:p>
    <w:p w14:paraId="48B8CC79" w14:textId="77777777" w:rsidR="002554C3" w:rsidRPr="007A36EF" w:rsidRDefault="002554C3" w:rsidP="002554C3">
      <w:pPr>
        <w:pStyle w:val="3aBody"/>
      </w:pPr>
      <w:r>
        <w:t>S</w:t>
      </w:r>
      <w:r w:rsidRPr="007A36EF">
        <w:t xml:space="preserve">V assistance is available in all </w:t>
      </w:r>
      <w:r>
        <w:t xml:space="preserve">balance of the state </w:t>
      </w:r>
      <w:r w:rsidRPr="007A36EF">
        <w:t xml:space="preserve">voucher communities. </w:t>
      </w:r>
    </w:p>
    <w:p w14:paraId="748920A2" w14:textId="77777777" w:rsidR="002554C3" w:rsidRPr="007A36EF" w:rsidRDefault="002554C3" w:rsidP="002554C3"/>
    <w:p w14:paraId="4BB5EF85" w14:textId="3E8493D7" w:rsidR="002554C3" w:rsidRPr="00DF7FAC" w:rsidRDefault="002554C3" w:rsidP="00DF7FAC">
      <w:pPr>
        <w:pStyle w:val="2Level21A"/>
      </w:pPr>
      <w:bookmarkStart w:id="11" w:name="_Toc94544694"/>
      <w:bookmarkStart w:id="12" w:name="_Toc510171704"/>
      <w:r w:rsidRPr="00DF7FAC">
        <w:t>Reasonable Accommodation</w:t>
      </w:r>
      <w:bookmarkEnd w:id="11"/>
    </w:p>
    <w:p w14:paraId="1DB2A725" w14:textId="77777777" w:rsidR="002554C3" w:rsidRPr="00DF7FAC" w:rsidRDefault="002554C3" w:rsidP="00DF7FAC">
      <w:pPr>
        <w:pStyle w:val="6PolicyTitle"/>
      </w:pPr>
      <w:r w:rsidRPr="00DF7FAC">
        <w:t>HUD Guidance</w:t>
      </w:r>
    </w:p>
    <w:p w14:paraId="69C30A82" w14:textId="77777777" w:rsidR="002554C3" w:rsidRDefault="002554C3" w:rsidP="002554C3">
      <w:pPr>
        <w:pStyle w:val="6aPolicyTxt"/>
      </w:pPr>
      <w:r w:rsidRPr="007A36EF">
        <w:t xml:space="preserve">Civil rights requirements cannot be waived. The </w:t>
      </w:r>
      <w:r>
        <w:t>S</w:t>
      </w:r>
      <w:r w:rsidRPr="007A36EF">
        <w:t xml:space="preserve">V program is administered in accordance with applicable civil rights and fair housing requirements. These include applicable authorities under </w:t>
      </w:r>
      <w:r>
        <w:t>24 CFR 5.105(a) and 24 CFR 982.53, including but not limited to the Fair Housing Act, Section 504 of the Rehabilitation Act of 1973, Title VI of the Civil Rights Act of 1964, the Age</w:t>
      </w:r>
    </w:p>
    <w:p w14:paraId="768F1026" w14:textId="7070ECC7" w:rsidR="00F37F2A" w:rsidRPr="007A36EF" w:rsidRDefault="002554C3" w:rsidP="002554C3">
      <w:pPr>
        <w:pStyle w:val="6aPolicyTxt"/>
      </w:pPr>
      <w:r>
        <w:t>Discrimination Act, HUD’s Equal Access Rule, Title II of the Americans with Disabilities Act of 1990, and the Violence Against Women Act.</w:t>
      </w:r>
    </w:p>
    <w:p w14:paraId="458BA3D3" w14:textId="0A09BC0B" w:rsidR="002554C3" w:rsidRPr="00DF7FAC" w:rsidRDefault="002554C3" w:rsidP="00DF7FAC">
      <w:pPr>
        <w:pStyle w:val="1Level11"/>
      </w:pPr>
      <w:bookmarkStart w:id="13" w:name="_Toc94544695"/>
      <w:r w:rsidRPr="00DF7FAC">
        <w:lastRenderedPageBreak/>
        <w:t xml:space="preserve">Family Eligibility </w:t>
      </w:r>
      <w:bookmarkEnd w:id="12"/>
      <w:bookmarkEnd w:id="13"/>
    </w:p>
    <w:p w14:paraId="1918AD65" w14:textId="77777777" w:rsidR="002554C3" w:rsidRPr="007A36EF" w:rsidRDefault="002554C3" w:rsidP="002554C3">
      <w:pPr>
        <w:pStyle w:val="3aBody"/>
      </w:pPr>
      <w:r w:rsidRPr="007A36EF">
        <w:t xml:space="preserve">AHFC will not run a waiting list for </w:t>
      </w:r>
      <w:r>
        <w:t>S</w:t>
      </w:r>
      <w:r w:rsidRPr="007A36EF">
        <w:t xml:space="preserve">V applicants. AKCH2 will </w:t>
      </w:r>
      <w:r>
        <w:t>refer S</w:t>
      </w:r>
      <w:r w:rsidRPr="007A36EF">
        <w:t>V eligible families for the issuance</w:t>
      </w:r>
      <w:r>
        <w:t xml:space="preserve"> of vouchers. Eligibility for S</w:t>
      </w:r>
      <w:r w:rsidRPr="007A36EF">
        <w:t>V is limited to individuals and families who are:</w:t>
      </w:r>
    </w:p>
    <w:p w14:paraId="62C0CA11" w14:textId="77777777" w:rsidR="002554C3" w:rsidRPr="007A36EF" w:rsidRDefault="002554C3" w:rsidP="002554C3">
      <w:pPr>
        <w:pStyle w:val="3aBody"/>
        <w:ind w:left="720"/>
      </w:pPr>
      <w:r>
        <w:t>1. Homeless or at-r</w:t>
      </w:r>
      <w:r w:rsidRPr="007A36EF">
        <w:t xml:space="preserve">isk of homelessness; </w:t>
      </w:r>
    </w:p>
    <w:p w14:paraId="1914C7DE" w14:textId="77777777" w:rsidR="002554C3" w:rsidRPr="007A36EF" w:rsidRDefault="002554C3" w:rsidP="002554C3">
      <w:pPr>
        <w:pStyle w:val="3aBody"/>
        <w:ind w:left="720"/>
      </w:pPr>
      <w:r>
        <w:t>2</w:t>
      </w:r>
      <w:r w:rsidRPr="007A36EF">
        <w:t xml:space="preserve">. Fleeing, or attempting to flee, domestic violence, dating violence, sexual assault, stalking or human trafficking; or </w:t>
      </w:r>
    </w:p>
    <w:p w14:paraId="4D445362" w14:textId="77777777" w:rsidR="002554C3" w:rsidRPr="007A36EF" w:rsidRDefault="002554C3" w:rsidP="002554C3">
      <w:pPr>
        <w:pStyle w:val="3aBody"/>
        <w:ind w:left="720"/>
      </w:pPr>
      <w:r>
        <w:t>3</w:t>
      </w:r>
      <w:r>
        <w:rPr>
          <w:color w:val="000000"/>
          <w:shd w:val="clear" w:color="auto" w:fill="FFFFFF"/>
        </w:rPr>
        <w:t>. Veterans and families that meet one of the preceding</w:t>
      </w:r>
      <w:r w:rsidRPr="007A36EF">
        <w:t xml:space="preserve">. </w:t>
      </w:r>
    </w:p>
    <w:p w14:paraId="513FB83B" w14:textId="77777777" w:rsidR="002554C3" w:rsidRPr="007A36EF" w:rsidRDefault="002554C3" w:rsidP="002554C3">
      <w:pPr>
        <w:pStyle w:val="3aBody"/>
      </w:pPr>
      <w:r w:rsidRPr="007A36EF">
        <w:t xml:space="preserve">Definitions for eligible populations are listed in the Memorandum of Understanding. </w:t>
      </w:r>
    </w:p>
    <w:p w14:paraId="5DE8ADDE" w14:textId="11BE9E73" w:rsidR="002554C3" w:rsidRPr="00CD08F7" w:rsidRDefault="002554C3" w:rsidP="00DF7FAC">
      <w:pPr>
        <w:pStyle w:val="2Level21A"/>
      </w:pPr>
      <w:r w:rsidRPr="00CD08F7">
        <w:t>Date of</w:t>
      </w:r>
      <w:r w:rsidRPr="00CD08F7">
        <w:rPr>
          <w:spacing w:val="5"/>
        </w:rPr>
        <w:t xml:space="preserve"> </w:t>
      </w:r>
      <w:r w:rsidRPr="00CD08F7">
        <w:t>Birth</w:t>
      </w:r>
    </w:p>
    <w:p w14:paraId="42630A4B" w14:textId="77777777" w:rsidR="002554C3" w:rsidRPr="00CD08F7" w:rsidRDefault="002554C3" w:rsidP="002554C3">
      <w:pPr>
        <w:pStyle w:val="BodyText"/>
        <w:spacing w:before="21" w:line="259" w:lineRule="auto"/>
        <w:rPr>
          <w:rFonts w:ascii="Book Antiqua" w:hAnsi="Book Antiqua"/>
        </w:rPr>
      </w:pPr>
      <w:r>
        <w:rPr>
          <w:rFonts w:ascii="Book Antiqua" w:hAnsi="Book Antiqua"/>
          <w:w w:val="105"/>
        </w:rPr>
        <w:t>SV</w:t>
      </w:r>
      <w:r w:rsidRPr="00CD08F7">
        <w:rPr>
          <w:rFonts w:ascii="Book Antiqua" w:hAnsi="Book Antiqua"/>
          <w:w w:val="105"/>
        </w:rPr>
        <w:t xml:space="preserve"> families</w:t>
      </w:r>
      <w:r w:rsidRPr="00CD08F7">
        <w:rPr>
          <w:rFonts w:ascii="Book Antiqua" w:hAnsi="Book Antiqua"/>
          <w:spacing w:val="-6"/>
          <w:w w:val="105"/>
        </w:rPr>
        <w:t xml:space="preserve"> </w:t>
      </w:r>
      <w:r w:rsidRPr="00CD08F7">
        <w:rPr>
          <w:rFonts w:ascii="Book Antiqua" w:hAnsi="Book Antiqua"/>
          <w:w w:val="105"/>
        </w:rPr>
        <w:t>may</w:t>
      </w:r>
      <w:r w:rsidRPr="00CD08F7">
        <w:rPr>
          <w:rFonts w:ascii="Book Antiqua" w:hAnsi="Book Antiqua"/>
          <w:spacing w:val="-18"/>
          <w:w w:val="105"/>
        </w:rPr>
        <w:t xml:space="preserve"> </w:t>
      </w:r>
      <w:r w:rsidRPr="00CD08F7">
        <w:rPr>
          <w:rFonts w:ascii="Book Antiqua" w:hAnsi="Book Antiqua"/>
          <w:w w:val="105"/>
        </w:rPr>
        <w:t>self-certify</w:t>
      </w:r>
      <w:r w:rsidRPr="00CD08F7">
        <w:rPr>
          <w:rFonts w:ascii="Book Antiqua" w:hAnsi="Book Antiqua"/>
          <w:spacing w:val="-17"/>
          <w:w w:val="105"/>
        </w:rPr>
        <w:t xml:space="preserve"> </w:t>
      </w:r>
      <w:r w:rsidRPr="00CD08F7">
        <w:rPr>
          <w:rFonts w:ascii="Book Antiqua" w:hAnsi="Book Antiqua"/>
          <w:spacing w:val="-13"/>
          <w:w w:val="105"/>
        </w:rPr>
        <w:t xml:space="preserve">their </w:t>
      </w:r>
      <w:r w:rsidRPr="00CD08F7">
        <w:rPr>
          <w:rFonts w:ascii="Book Antiqua" w:hAnsi="Book Antiqua"/>
          <w:w w:val="105"/>
        </w:rPr>
        <w:t>birth</w:t>
      </w:r>
      <w:r w:rsidRPr="00CD08F7">
        <w:rPr>
          <w:rFonts w:ascii="Book Antiqua" w:hAnsi="Book Antiqua"/>
          <w:spacing w:val="-16"/>
          <w:w w:val="105"/>
        </w:rPr>
        <w:t xml:space="preserve"> </w:t>
      </w:r>
      <w:r w:rsidRPr="00CD08F7">
        <w:rPr>
          <w:rFonts w:ascii="Book Antiqua" w:hAnsi="Book Antiqua"/>
          <w:w w:val="105"/>
        </w:rPr>
        <w:t>date(s). AHFC must have verification within 90 days of the new admission</w:t>
      </w:r>
      <w:r w:rsidRPr="00CD08F7">
        <w:rPr>
          <w:rFonts w:ascii="Book Antiqua" w:hAnsi="Book Antiqua"/>
          <w:spacing w:val="-13"/>
          <w:w w:val="105"/>
        </w:rPr>
        <w:t xml:space="preserve"> </w:t>
      </w:r>
      <w:r w:rsidRPr="00CD08F7">
        <w:rPr>
          <w:rFonts w:ascii="Book Antiqua" w:hAnsi="Book Antiqua"/>
          <w:w w:val="105"/>
        </w:rPr>
        <w:t>date.</w:t>
      </w:r>
    </w:p>
    <w:p w14:paraId="6C8EC79E" w14:textId="77777777" w:rsidR="002554C3" w:rsidRPr="00CD08F7" w:rsidRDefault="002554C3" w:rsidP="002554C3">
      <w:pPr>
        <w:pStyle w:val="BodyText"/>
        <w:spacing w:before="6"/>
        <w:rPr>
          <w:sz w:val="23"/>
        </w:rPr>
      </w:pPr>
    </w:p>
    <w:p w14:paraId="3C8CF993" w14:textId="77777777" w:rsidR="002554C3" w:rsidRPr="00CD08F7" w:rsidRDefault="002554C3" w:rsidP="002554C3">
      <w:pPr>
        <w:pStyle w:val="3aBody"/>
        <w:rPr>
          <w:color w:val="auto"/>
          <w:w w:val="105"/>
        </w:rPr>
      </w:pPr>
      <w:r w:rsidRPr="00CD08F7">
        <w:rPr>
          <w:color w:val="auto"/>
          <w:w w:val="105"/>
        </w:rPr>
        <w:t>AHFC staff may use the EIV Identity Verification Status to determine if the date of birth is correct. If the report states that the members are "verified," write a note on the print-out that it is for verification of birth dates and place a copy of only that page  in the file location where date of birth copies go. No further verification is required.</w:t>
      </w:r>
    </w:p>
    <w:p w14:paraId="0A86D05F" w14:textId="2623394D" w:rsidR="002554C3" w:rsidRPr="00DF7FAC" w:rsidRDefault="002554C3" w:rsidP="00DF7FAC">
      <w:pPr>
        <w:pStyle w:val="1Level11"/>
      </w:pPr>
      <w:bookmarkStart w:id="14" w:name="_Toc510171706"/>
      <w:bookmarkStart w:id="15" w:name="_Toc94544697"/>
      <w:r w:rsidRPr="00DF7FAC">
        <w:t>Applicant Screening</w:t>
      </w:r>
      <w:bookmarkEnd w:id="14"/>
      <w:bookmarkEnd w:id="15"/>
    </w:p>
    <w:p w14:paraId="70F4793E" w14:textId="77777777" w:rsidR="002554C3" w:rsidRPr="007A36EF" w:rsidRDefault="002554C3" w:rsidP="002554C3">
      <w:pPr>
        <w:pStyle w:val="3aBody"/>
      </w:pPr>
      <w:r>
        <w:t>S</w:t>
      </w:r>
      <w:r w:rsidRPr="007A36EF">
        <w:t xml:space="preserve">V applicants are subject to the same criteria as other voucher families with the exception of the below listed mandatory exceptions. </w:t>
      </w:r>
    </w:p>
    <w:p w14:paraId="6DDC2A38" w14:textId="77777777" w:rsidR="002554C3" w:rsidRPr="007A36EF" w:rsidRDefault="002554C3" w:rsidP="002554C3">
      <w:pPr>
        <w:pStyle w:val="ListParagraph"/>
        <w:widowControl w:val="0"/>
        <w:numPr>
          <w:ilvl w:val="0"/>
          <w:numId w:val="41"/>
        </w:numPr>
        <w:tabs>
          <w:tab w:val="left" w:pos="1030"/>
        </w:tabs>
        <w:autoSpaceDE w:val="0"/>
        <w:autoSpaceDN w:val="0"/>
        <w:spacing w:before="59" w:line="259" w:lineRule="auto"/>
        <w:contextualSpacing w:val="0"/>
      </w:pPr>
      <w:r w:rsidRPr="007A36EF">
        <w:rPr>
          <w:color w:val="0F0F0F"/>
        </w:rPr>
        <w:t>AHFC may not deny admission if a member of the family has been evicted from federally assisted housing in the last five years (see section 2.J Prior Assisted Housing Eviction of the Meet Screening Criteria</w:t>
      </w:r>
      <w:r w:rsidRPr="007A36EF">
        <w:rPr>
          <w:color w:val="0F0F0F"/>
          <w:spacing w:val="13"/>
        </w:rPr>
        <w:t xml:space="preserve"> </w:t>
      </w:r>
      <w:r w:rsidRPr="007A36EF">
        <w:rPr>
          <w:color w:val="0F0F0F"/>
        </w:rPr>
        <w:t>exhibit).</w:t>
      </w:r>
    </w:p>
    <w:p w14:paraId="324C995C" w14:textId="77777777" w:rsidR="002554C3" w:rsidRPr="007A36EF" w:rsidRDefault="002554C3" w:rsidP="002554C3">
      <w:pPr>
        <w:pStyle w:val="ListParagraph"/>
        <w:widowControl w:val="0"/>
        <w:numPr>
          <w:ilvl w:val="0"/>
          <w:numId w:val="41"/>
        </w:numPr>
        <w:tabs>
          <w:tab w:val="left" w:pos="1030"/>
        </w:tabs>
        <w:autoSpaceDE w:val="0"/>
        <w:autoSpaceDN w:val="0"/>
        <w:spacing w:before="60" w:line="259" w:lineRule="auto"/>
        <w:contextualSpacing w:val="0"/>
      </w:pPr>
      <w:r w:rsidRPr="007A36EF">
        <w:rPr>
          <w:color w:val="0F0F0F"/>
          <w:w w:val="105"/>
        </w:rPr>
        <w:t>AHFC</w:t>
      </w:r>
      <w:r w:rsidRPr="007A36EF">
        <w:rPr>
          <w:color w:val="0F0F0F"/>
          <w:spacing w:val="-18"/>
          <w:w w:val="105"/>
        </w:rPr>
        <w:t xml:space="preserve"> </w:t>
      </w:r>
      <w:r w:rsidRPr="007A36EF">
        <w:rPr>
          <w:color w:val="0F0F0F"/>
          <w:w w:val="105"/>
        </w:rPr>
        <w:t>may</w:t>
      </w:r>
      <w:r w:rsidRPr="007A36EF">
        <w:rPr>
          <w:color w:val="0F0F0F"/>
          <w:spacing w:val="-21"/>
          <w:w w:val="105"/>
        </w:rPr>
        <w:t xml:space="preserve"> </w:t>
      </w:r>
      <w:r w:rsidRPr="007A36EF">
        <w:rPr>
          <w:color w:val="0F0F0F"/>
          <w:w w:val="105"/>
        </w:rPr>
        <w:t>not</w:t>
      </w:r>
      <w:r w:rsidRPr="007A36EF">
        <w:rPr>
          <w:color w:val="0F0F0F"/>
          <w:spacing w:val="-17"/>
          <w:w w:val="105"/>
        </w:rPr>
        <w:t xml:space="preserve"> </w:t>
      </w:r>
      <w:r w:rsidRPr="007A36EF">
        <w:rPr>
          <w:color w:val="0F0F0F"/>
          <w:w w:val="105"/>
        </w:rPr>
        <w:t>deny</w:t>
      </w:r>
      <w:r w:rsidRPr="007A36EF">
        <w:rPr>
          <w:color w:val="0F0F0F"/>
          <w:spacing w:val="-22"/>
          <w:w w:val="105"/>
        </w:rPr>
        <w:t xml:space="preserve"> </w:t>
      </w:r>
      <w:r w:rsidRPr="007A36EF">
        <w:rPr>
          <w:color w:val="0F0F0F"/>
          <w:w w:val="105"/>
        </w:rPr>
        <w:t>admission</w:t>
      </w:r>
      <w:r w:rsidRPr="007A36EF">
        <w:rPr>
          <w:color w:val="0F0F0F"/>
          <w:spacing w:val="-11"/>
          <w:w w:val="105"/>
        </w:rPr>
        <w:t xml:space="preserve"> </w:t>
      </w:r>
      <w:r w:rsidRPr="007A36EF">
        <w:rPr>
          <w:color w:val="0F0F0F"/>
          <w:w w:val="105"/>
        </w:rPr>
        <w:t>if</w:t>
      </w:r>
      <w:r w:rsidRPr="007A36EF">
        <w:rPr>
          <w:color w:val="0F0F0F"/>
          <w:spacing w:val="-18"/>
          <w:w w:val="105"/>
        </w:rPr>
        <w:t xml:space="preserve"> </w:t>
      </w:r>
      <w:r w:rsidRPr="007A36EF">
        <w:rPr>
          <w:color w:val="0F0F0F"/>
          <w:w w:val="105"/>
        </w:rPr>
        <w:t>a</w:t>
      </w:r>
      <w:r w:rsidRPr="007A36EF">
        <w:rPr>
          <w:color w:val="0F0F0F"/>
          <w:spacing w:val="-22"/>
          <w:w w:val="105"/>
        </w:rPr>
        <w:t xml:space="preserve"> </w:t>
      </w:r>
      <w:r w:rsidRPr="007A36EF">
        <w:rPr>
          <w:color w:val="0F0F0F"/>
          <w:w w:val="105"/>
        </w:rPr>
        <w:t>family's</w:t>
      </w:r>
      <w:r w:rsidRPr="007A36EF">
        <w:rPr>
          <w:color w:val="0F0F0F"/>
          <w:spacing w:val="-13"/>
          <w:w w:val="105"/>
        </w:rPr>
        <w:t xml:space="preserve"> </w:t>
      </w:r>
      <w:r w:rsidRPr="007A36EF">
        <w:rPr>
          <w:color w:val="0F0F0F"/>
          <w:w w:val="105"/>
        </w:rPr>
        <w:t>assistance</w:t>
      </w:r>
      <w:r w:rsidRPr="007A36EF">
        <w:rPr>
          <w:color w:val="0F0F0F"/>
          <w:spacing w:val="-9"/>
          <w:w w:val="105"/>
        </w:rPr>
        <w:t xml:space="preserve"> </w:t>
      </w:r>
      <w:r w:rsidRPr="007A36EF">
        <w:rPr>
          <w:color w:val="0F0F0F"/>
          <w:w w:val="105"/>
        </w:rPr>
        <w:t>has</w:t>
      </w:r>
      <w:r w:rsidRPr="007A36EF">
        <w:rPr>
          <w:color w:val="0F0F0F"/>
          <w:spacing w:val="-17"/>
          <w:w w:val="105"/>
        </w:rPr>
        <w:t xml:space="preserve"> </w:t>
      </w:r>
      <w:r w:rsidRPr="007A36EF">
        <w:rPr>
          <w:color w:val="0F0F0F"/>
          <w:w w:val="105"/>
        </w:rPr>
        <w:t>been</w:t>
      </w:r>
      <w:r w:rsidRPr="007A36EF">
        <w:rPr>
          <w:color w:val="0F0F0F"/>
          <w:spacing w:val="-19"/>
          <w:w w:val="105"/>
        </w:rPr>
        <w:t xml:space="preserve"> </w:t>
      </w:r>
      <w:r w:rsidRPr="007A36EF">
        <w:rPr>
          <w:color w:val="0F0F0F"/>
          <w:w w:val="105"/>
        </w:rPr>
        <w:t>terminated</w:t>
      </w:r>
      <w:r w:rsidRPr="007A36EF">
        <w:rPr>
          <w:color w:val="0F0F0F"/>
          <w:spacing w:val="-5"/>
          <w:w w:val="105"/>
        </w:rPr>
        <w:t xml:space="preserve"> </w:t>
      </w:r>
      <w:r w:rsidRPr="007A36EF">
        <w:rPr>
          <w:color w:val="0F0F0F"/>
          <w:w w:val="105"/>
        </w:rPr>
        <w:t>(see</w:t>
      </w:r>
      <w:r w:rsidRPr="007A36EF">
        <w:rPr>
          <w:color w:val="0F0F0F"/>
          <w:spacing w:val="-21"/>
          <w:w w:val="105"/>
        </w:rPr>
        <w:t xml:space="preserve"> </w:t>
      </w:r>
      <w:r w:rsidRPr="007A36EF">
        <w:rPr>
          <w:color w:val="0F0F0F"/>
          <w:w w:val="105"/>
        </w:rPr>
        <w:t>section</w:t>
      </w:r>
      <w:r w:rsidRPr="007A36EF">
        <w:rPr>
          <w:color w:val="0F0F0F"/>
          <w:spacing w:val="-11"/>
          <w:w w:val="105"/>
        </w:rPr>
        <w:t xml:space="preserve"> </w:t>
      </w:r>
      <w:r w:rsidRPr="007A36EF">
        <w:rPr>
          <w:color w:val="0F0F0F"/>
          <w:w w:val="105"/>
        </w:rPr>
        <w:t>2.K Prior Termination of Assistance of the Meet Screening Criteria</w:t>
      </w:r>
      <w:r w:rsidRPr="007A36EF">
        <w:rPr>
          <w:color w:val="0F0F0F"/>
          <w:spacing w:val="-27"/>
          <w:w w:val="105"/>
        </w:rPr>
        <w:t xml:space="preserve"> </w:t>
      </w:r>
      <w:r w:rsidRPr="007A36EF">
        <w:rPr>
          <w:color w:val="0F0F0F"/>
          <w:w w:val="105"/>
        </w:rPr>
        <w:t>exhibit).</w:t>
      </w:r>
    </w:p>
    <w:p w14:paraId="3FA4315E" w14:textId="77777777" w:rsidR="002554C3" w:rsidRPr="007A36EF" w:rsidRDefault="002554C3" w:rsidP="002554C3">
      <w:pPr>
        <w:pStyle w:val="ListParagraph"/>
        <w:widowControl w:val="0"/>
        <w:numPr>
          <w:ilvl w:val="0"/>
          <w:numId w:val="41"/>
        </w:numPr>
        <w:tabs>
          <w:tab w:val="left" w:pos="1030"/>
        </w:tabs>
        <w:autoSpaceDE w:val="0"/>
        <w:autoSpaceDN w:val="0"/>
        <w:spacing w:before="21"/>
        <w:ind w:left="1032"/>
        <w:contextualSpacing w:val="0"/>
      </w:pPr>
      <w:r w:rsidRPr="007A36EF">
        <w:rPr>
          <w:color w:val="0F0F0F"/>
        </w:rPr>
        <w:t>AHFC may not deny admission if a family owes money to AHFC or another PHA (see</w:t>
      </w:r>
      <w:r w:rsidRPr="007A36EF">
        <w:rPr>
          <w:color w:val="0F0F0F"/>
          <w:spacing w:val="25"/>
        </w:rPr>
        <w:t xml:space="preserve"> </w:t>
      </w:r>
      <w:r w:rsidRPr="007A36EF">
        <w:rPr>
          <w:color w:val="0F0F0F"/>
        </w:rPr>
        <w:t xml:space="preserve">section </w:t>
      </w:r>
      <w:r w:rsidRPr="007A36EF">
        <w:rPr>
          <w:color w:val="0F0F0F"/>
          <w:w w:val="105"/>
        </w:rPr>
        <w:t>2.H Money Owed to PHA of the Meet Screening Criteria exhibit).</w:t>
      </w:r>
    </w:p>
    <w:p w14:paraId="1906BFEA" w14:textId="77777777" w:rsidR="002554C3" w:rsidRPr="007A36EF" w:rsidRDefault="002554C3" w:rsidP="002554C3">
      <w:pPr>
        <w:pStyle w:val="ListParagraph"/>
        <w:widowControl w:val="0"/>
        <w:numPr>
          <w:ilvl w:val="1"/>
          <w:numId w:val="41"/>
        </w:numPr>
        <w:tabs>
          <w:tab w:val="left" w:pos="1756"/>
          <w:tab w:val="left" w:pos="1757"/>
        </w:tabs>
        <w:autoSpaceDE w:val="0"/>
        <w:autoSpaceDN w:val="0"/>
        <w:spacing w:before="29" w:line="256" w:lineRule="auto"/>
        <w:contextualSpacing w:val="0"/>
      </w:pPr>
      <w:r w:rsidRPr="007A36EF">
        <w:rPr>
          <w:color w:val="0E0E0E"/>
          <w:w w:val="105"/>
        </w:rPr>
        <w:t>AHFC</w:t>
      </w:r>
      <w:r w:rsidRPr="007A36EF">
        <w:rPr>
          <w:color w:val="0E0E0E"/>
          <w:spacing w:val="-22"/>
          <w:w w:val="105"/>
        </w:rPr>
        <w:t xml:space="preserve"> </w:t>
      </w:r>
      <w:r w:rsidRPr="007A36EF">
        <w:rPr>
          <w:color w:val="0E0E0E"/>
          <w:w w:val="105"/>
        </w:rPr>
        <w:t>will</w:t>
      </w:r>
      <w:r w:rsidRPr="007A36EF">
        <w:rPr>
          <w:color w:val="0E0E0E"/>
          <w:spacing w:val="-26"/>
          <w:w w:val="105"/>
        </w:rPr>
        <w:t xml:space="preserve"> </w:t>
      </w:r>
      <w:r w:rsidRPr="007A36EF">
        <w:rPr>
          <w:color w:val="0E0E0E"/>
          <w:w w:val="105"/>
        </w:rPr>
        <w:t>not</w:t>
      </w:r>
      <w:r w:rsidRPr="007A36EF">
        <w:rPr>
          <w:color w:val="0E0E0E"/>
          <w:spacing w:val="-25"/>
          <w:w w:val="105"/>
        </w:rPr>
        <w:t xml:space="preserve"> </w:t>
      </w:r>
      <w:r w:rsidRPr="007A36EF">
        <w:rPr>
          <w:color w:val="0E0E0E"/>
          <w:w w:val="105"/>
        </w:rPr>
        <w:t>deny</w:t>
      </w:r>
      <w:r w:rsidRPr="007A36EF">
        <w:rPr>
          <w:color w:val="0E0E0E"/>
          <w:spacing w:val="-23"/>
          <w:w w:val="105"/>
        </w:rPr>
        <w:t xml:space="preserve"> </w:t>
      </w:r>
      <w:r w:rsidRPr="007A36EF">
        <w:rPr>
          <w:color w:val="0E0E0E"/>
          <w:w w:val="105"/>
        </w:rPr>
        <w:t>admission</w:t>
      </w:r>
      <w:r w:rsidRPr="007A36EF">
        <w:rPr>
          <w:color w:val="0E0E0E"/>
          <w:spacing w:val="-13"/>
          <w:w w:val="105"/>
        </w:rPr>
        <w:t xml:space="preserve"> </w:t>
      </w:r>
      <w:r w:rsidRPr="007A36EF">
        <w:rPr>
          <w:color w:val="0E0E0E"/>
          <w:w w:val="105"/>
        </w:rPr>
        <w:t>if</w:t>
      </w:r>
      <w:r w:rsidRPr="007A36EF">
        <w:rPr>
          <w:color w:val="0E0E0E"/>
          <w:spacing w:val="-23"/>
          <w:w w:val="105"/>
        </w:rPr>
        <w:t xml:space="preserve"> </w:t>
      </w:r>
      <w:r w:rsidRPr="007A36EF">
        <w:rPr>
          <w:color w:val="0E0E0E"/>
          <w:w w:val="105"/>
        </w:rPr>
        <w:t>the</w:t>
      </w:r>
      <w:r w:rsidRPr="007A36EF">
        <w:rPr>
          <w:color w:val="0E0E0E"/>
          <w:spacing w:val="-24"/>
          <w:w w:val="105"/>
        </w:rPr>
        <w:t xml:space="preserve"> </w:t>
      </w:r>
      <w:r w:rsidRPr="007A36EF">
        <w:rPr>
          <w:color w:val="0E0E0E"/>
          <w:w w:val="105"/>
        </w:rPr>
        <w:t>family</w:t>
      </w:r>
      <w:r w:rsidRPr="007A36EF">
        <w:rPr>
          <w:color w:val="0E0E0E"/>
          <w:spacing w:val="-17"/>
          <w:w w:val="105"/>
        </w:rPr>
        <w:t xml:space="preserve"> </w:t>
      </w:r>
      <w:r w:rsidRPr="007A36EF">
        <w:rPr>
          <w:color w:val="0E0E0E"/>
          <w:w w:val="105"/>
        </w:rPr>
        <w:t>has</w:t>
      </w:r>
      <w:r w:rsidRPr="007A36EF">
        <w:rPr>
          <w:color w:val="0E0E0E"/>
          <w:spacing w:val="-23"/>
          <w:w w:val="105"/>
        </w:rPr>
        <w:t xml:space="preserve"> </w:t>
      </w:r>
      <w:r w:rsidRPr="007A36EF">
        <w:rPr>
          <w:color w:val="0E0E0E"/>
          <w:w w:val="105"/>
        </w:rPr>
        <w:t>not</w:t>
      </w:r>
      <w:r w:rsidRPr="007A36EF">
        <w:rPr>
          <w:color w:val="0E0E0E"/>
          <w:spacing w:val="-19"/>
          <w:w w:val="105"/>
        </w:rPr>
        <w:t xml:space="preserve"> </w:t>
      </w:r>
      <w:r w:rsidRPr="007A36EF">
        <w:rPr>
          <w:color w:val="0E0E0E"/>
          <w:w w:val="105"/>
        </w:rPr>
        <w:t>reimbursed</w:t>
      </w:r>
      <w:r w:rsidRPr="007A36EF">
        <w:rPr>
          <w:color w:val="0E0E0E"/>
          <w:spacing w:val="-10"/>
          <w:w w:val="105"/>
        </w:rPr>
        <w:t xml:space="preserve"> </w:t>
      </w:r>
      <w:r w:rsidRPr="007A36EF">
        <w:rPr>
          <w:color w:val="0E0E0E"/>
          <w:w w:val="105"/>
        </w:rPr>
        <w:t>any</w:t>
      </w:r>
      <w:r w:rsidRPr="007A36EF">
        <w:rPr>
          <w:color w:val="0E0E0E"/>
          <w:spacing w:val="-20"/>
          <w:w w:val="105"/>
        </w:rPr>
        <w:t xml:space="preserve"> </w:t>
      </w:r>
      <w:r w:rsidRPr="007A36EF">
        <w:rPr>
          <w:color w:val="0E0E0E"/>
          <w:w w:val="105"/>
        </w:rPr>
        <w:t>PHA</w:t>
      </w:r>
      <w:r w:rsidRPr="007A36EF">
        <w:rPr>
          <w:color w:val="0E0E0E"/>
          <w:spacing w:val="-24"/>
          <w:w w:val="105"/>
        </w:rPr>
        <w:t xml:space="preserve"> </w:t>
      </w:r>
      <w:r w:rsidRPr="007A36EF">
        <w:rPr>
          <w:color w:val="0E0E0E"/>
          <w:w w:val="105"/>
        </w:rPr>
        <w:t>for</w:t>
      </w:r>
      <w:r w:rsidRPr="007A36EF">
        <w:rPr>
          <w:color w:val="0E0E0E"/>
          <w:spacing w:val="-16"/>
          <w:w w:val="105"/>
        </w:rPr>
        <w:t xml:space="preserve"> </w:t>
      </w:r>
      <w:r w:rsidRPr="007A36EF">
        <w:rPr>
          <w:color w:val="0E0E0E"/>
          <w:w w:val="105"/>
        </w:rPr>
        <w:t>amounts paid to an owner under a HAP contract for rent, damages to the unit, or other amounts owed by the family under the</w:t>
      </w:r>
      <w:r w:rsidRPr="007A36EF">
        <w:rPr>
          <w:color w:val="0E0E0E"/>
          <w:spacing w:val="-7"/>
          <w:w w:val="105"/>
        </w:rPr>
        <w:t xml:space="preserve"> </w:t>
      </w:r>
      <w:r w:rsidRPr="007A36EF">
        <w:rPr>
          <w:color w:val="0E0E0E"/>
          <w:w w:val="105"/>
        </w:rPr>
        <w:t>lease.</w:t>
      </w:r>
    </w:p>
    <w:p w14:paraId="32FD228A" w14:textId="77777777" w:rsidR="002554C3" w:rsidRPr="00BD1142" w:rsidRDefault="002554C3" w:rsidP="002554C3">
      <w:pPr>
        <w:pStyle w:val="ListParagraph"/>
        <w:widowControl w:val="0"/>
        <w:numPr>
          <w:ilvl w:val="1"/>
          <w:numId w:val="41"/>
        </w:numPr>
        <w:tabs>
          <w:tab w:val="left" w:pos="1756"/>
          <w:tab w:val="left" w:pos="1757"/>
        </w:tabs>
        <w:autoSpaceDE w:val="0"/>
        <w:autoSpaceDN w:val="0"/>
        <w:spacing w:before="24" w:line="259" w:lineRule="auto"/>
        <w:contextualSpacing w:val="0"/>
      </w:pPr>
      <w:r w:rsidRPr="007A36EF">
        <w:rPr>
          <w:color w:val="0E0E0E"/>
        </w:rPr>
        <w:t xml:space="preserve">AHFC will not deny admission if the family breached an agreement with the PHA to pay amounts owed to a PHA, or amounts paid to an </w:t>
      </w:r>
      <w:r w:rsidRPr="007A36EF">
        <w:rPr>
          <w:color w:val="0E0E0E"/>
        </w:rPr>
        <w:lastRenderedPageBreak/>
        <w:t>owner by a</w:t>
      </w:r>
      <w:r w:rsidRPr="007A36EF">
        <w:rPr>
          <w:color w:val="0E0E0E"/>
          <w:spacing w:val="-19"/>
        </w:rPr>
        <w:t xml:space="preserve"> </w:t>
      </w:r>
      <w:r w:rsidRPr="007A36EF">
        <w:rPr>
          <w:color w:val="0E0E0E"/>
        </w:rPr>
        <w:t>PHA.</w:t>
      </w:r>
    </w:p>
    <w:p w14:paraId="3422DA41" w14:textId="77777777" w:rsidR="002554C3" w:rsidRPr="007A36EF" w:rsidRDefault="002554C3" w:rsidP="002554C3">
      <w:pPr>
        <w:pStyle w:val="ListParagraph"/>
        <w:widowControl w:val="0"/>
        <w:numPr>
          <w:ilvl w:val="0"/>
          <w:numId w:val="41"/>
        </w:numPr>
        <w:tabs>
          <w:tab w:val="left" w:pos="1756"/>
          <w:tab w:val="left" w:pos="1757"/>
        </w:tabs>
        <w:autoSpaceDE w:val="0"/>
        <w:autoSpaceDN w:val="0"/>
        <w:spacing w:before="24" w:line="259" w:lineRule="auto"/>
        <w:contextualSpacing w:val="0"/>
      </w:pPr>
      <w:r>
        <w:rPr>
          <w:color w:val="0E0E0E"/>
        </w:rPr>
        <w:t xml:space="preserve">AHFC may not deny admission for </w:t>
      </w:r>
      <w:r>
        <w:t>fraud, bribery, or any other corrupt or criminal act in connection with any Federal housing program.</w:t>
      </w:r>
    </w:p>
    <w:p w14:paraId="381BCC73" w14:textId="77777777" w:rsidR="002554C3" w:rsidRPr="007A36EF" w:rsidRDefault="002554C3" w:rsidP="002554C3">
      <w:pPr>
        <w:pStyle w:val="ListParagraph"/>
        <w:widowControl w:val="0"/>
        <w:numPr>
          <w:ilvl w:val="0"/>
          <w:numId w:val="41"/>
        </w:numPr>
        <w:tabs>
          <w:tab w:val="left" w:pos="1030"/>
        </w:tabs>
        <w:autoSpaceDE w:val="0"/>
        <w:autoSpaceDN w:val="0"/>
        <w:spacing w:before="78" w:line="259" w:lineRule="auto"/>
        <w:contextualSpacing w:val="0"/>
      </w:pPr>
      <w:r w:rsidRPr="007A36EF">
        <w:rPr>
          <w:color w:val="0F0F0F"/>
          <w:w w:val="105"/>
        </w:rPr>
        <w:t>AHFC</w:t>
      </w:r>
      <w:r w:rsidRPr="007A36EF">
        <w:rPr>
          <w:color w:val="0F0F0F"/>
          <w:spacing w:val="-19"/>
          <w:w w:val="105"/>
        </w:rPr>
        <w:t xml:space="preserve"> </w:t>
      </w:r>
      <w:r w:rsidRPr="007A36EF">
        <w:rPr>
          <w:color w:val="0F0F0F"/>
          <w:w w:val="105"/>
        </w:rPr>
        <w:t>may</w:t>
      </w:r>
      <w:r w:rsidRPr="007A36EF">
        <w:rPr>
          <w:color w:val="0F0F0F"/>
          <w:spacing w:val="-22"/>
          <w:w w:val="105"/>
        </w:rPr>
        <w:t xml:space="preserve"> </w:t>
      </w:r>
      <w:r w:rsidRPr="007A36EF">
        <w:rPr>
          <w:color w:val="0F0F0F"/>
          <w:w w:val="105"/>
        </w:rPr>
        <w:t>not</w:t>
      </w:r>
      <w:r w:rsidRPr="007A36EF">
        <w:rPr>
          <w:color w:val="0F0F0F"/>
          <w:spacing w:val="-21"/>
          <w:w w:val="105"/>
        </w:rPr>
        <w:t xml:space="preserve"> </w:t>
      </w:r>
      <w:r w:rsidRPr="007A36EF">
        <w:rPr>
          <w:color w:val="0F0F0F"/>
          <w:w w:val="105"/>
        </w:rPr>
        <w:t>deny</w:t>
      </w:r>
      <w:r w:rsidRPr="007A36EF">
        <w:rPr>
          <w:color w:val="0F0F0F"/>
          <w:spacing w:val="-22"/>
          <w:w w:val="105"/>
        </w:rPr>
        <w:t xml:space="preserve"> </w:t>
      </w:r>
      <w:r w:rsidRPr="007A36EF">
        <w:rPr>
          <w:color w:val="0F0F0F"/>
          <w:w w:val="105"/>
        </w:rPr>
        <w:t>admission</w:t>
      </w:r>
      <w:r w:rsidRPr="007A36EF">
        <w:rPr>
          <w:color w:val="0F0F0F"/>
          <w:spacing w:val="-16"/>
          <w:w w:val="105"/>
        </w:rPr>
        <w:t xml:space="preserve"> </w:t>
      </w:r>
      <w:r w:rsidRPr="007A36EF">
        <w:rPr>
          <w:color w:val="0F0F0F"/>
          <w:w w:val="105"/>
        </w:rPr>
        <w:t>for</w:t>
      </w:r>
      <w:r w:rsidRPr="007A36EF">
        <w:rPr>
          <w:color w:val="0F0F0F"/>
          <w:spacing w:val="-19"/>
          <w:w w:val="105"/>
        </w:rPr>
        <w:t xml:space="preserve"> </w:t>
      </w:r>
      <w:r w:rsidRPr="007A36EF">
        <w:rPr>
          <w:color w:val="0F0F0F"/>
          <w:w w:val="105"/>
        </w:rPr>
        <w:t>alcohol</w:t>
      </w:r>
      <w:r w:rsidRPr="007A36EF">
        <w:rPr>
          <w:color w:val="0F0F0F"/>
          <w:spacing w:val="-17"/>
          <w:w w:val="105"/>
        </w:rPr>
        <w:t xml:space="preserve"> </w:t>
      </w:r>
      <w:r w:rsidRPr="007A36EF">
        <w:rPr>
          <w:color w:val="0F0F0F"/>
          <w:w w:val="105"/>
        </w:rPr>
        <w:t>abuse</w:t>
      </w:r>
      <w:r w:rsidRPr="007A36EF">
        <w:rPr>
          <w:color w:val="0F0F0F"/>
          <w:spacing w:val="-19"/>
          <w:w w:val="105"/>
        </w:rPr>
        <w:t xml:space="preserve"> </w:t>
      </w:r>
      <w:r w:rsidRPr="007A36EF">
        <w:rPr>
          <w:color w:val="0F0F0F"/>
          <w:w w:val="105"/>
        </w:rPr>
        <w:t>(see</w:t>
      </w:r>
      <w:r w:rsidRPr="007A36EF">
        <w:rPr>
          <w:color w:val="0F0F0F"/>
          <w:spacing w:val="-22"/>
          <w:w w:val="105"/>
        </w:rPr>
        <w:t xml:space="preserve"> </w:t>
      </w:r>
      <w:r w:rsidRPr="007A36EF">
        <w:rPr>
          <w:color w:val="0F0F0F"/>
          <w:w w:val="105"/>
        </w:rPr>
        <w:t>section</w:t>
      </w:r>
      <w:r w:rsidRPr="007A36EF">
        <w:rPr>
          <w:color w:val="0F0F0F"/>
          <w:spacing w:val="-20"/>
          <w:w w:val="105"/>
        </w:rPr>
        <w:t xml:space="preserve"> </w:t>
      </w:r>
      <w:r w:rsidRPr="007A36EF">
        <w:rPr>
          <w:color w:val="0F0F0F"/>
          <w:w w:val="105"/>
        </w:rPr>
        <w:t>1.H</w:t>
      </w:r>
      <w:r w:rsidRPr="007A36EF">
        <w:rPr>
          <w:color w:val="0F0F0F"/>
          <w:spacing w:val="-23"/>
          <w:w w:val="105"/>
        </w:rPr>
        <w:t xml:space="preserve"> </w:t>
      </w:r>
      <w:r w:rsidRPr="007A36EF">
        <w:rPr>
          <w:color w:val="0F0F0F"/>
          <w:w w:val="105"/>
        </w:rPr>
        <w:t>Alcohol</w:t>
      </w:r>
      <w:r w:rsidRPr="007A36EF">
        <w:rPr>
          <w:color w:val="0F0F0F"/>
          <w:spacing w:val="-12"/>
          <w:w w:val="105"/>
        </w:rPr>
        <w:t xml:space="preserve"> </w:t>
      </w:r>
      <w:r w:rsidRPr="007A36EF">
        <w:rPr>
          <w:color w:val="0F0F0F"/>
          <w:w w:val="105"/>
        </w:rPr>
        <w:t>Abuse</w:t>
      </w:r>
      <w:r w:rsidRPr="007A36EF">
        <w:rPr>
          <w:color w:val="0F0F0F"/>
          <w:spacing w:val="-16"/>
          <w:w w:val="105"/>
        </w:rPr>
        <w:t xml:space="preserve"> </w:t>
      </w:r>
      <w:r w:rsidRPr="007A36EF">
        <w:rPr>
          <w:color w:val="0F0F0F"/>
          <w:w w:val="105"/>
        </w:rPr>
        <w:t>of</w:t>
      </w:r>
      <w:r w:rsidRPr="007A36EF">
        <w:rPr>
          <w:color w:val="0F0F0F"/>
          <w:spacing w:val="-27"/>
          <w:w w:val="105"/>
        </w:rPr>
        <w:t xml:space="preserve"> </w:t>
      </w:r>
      <w:r w:rsidRPr="007A36EF">
        <w:rPr>
          <w:color w:val="0F0F0F"/>
          <w:w w:val="105"/>
        </w:rPr>
        <w:t>the</w:t>
      </w:r>
      <w:r w:rsidRPr="007A36EF">
        <w:rPr>
          <w:color w:val="0F0F0F"/>
          <w:spacing w:val="-20"/>
          <w:w w:val="105"/>
        </w:rPr>
        <w:t xml:space="preserve"> </w:t>
      </w:r>
      <w:r w:rsidRPr="007A36EF">
        <w:rPr>
          <w:color w:val="0F0F0F"/>
          <w:w w:val="105"/>
        </w:rPr>
        <w:t>Meet Screening Criteria</w:t>
      </w:r>
      <w:r w:rsidRPr="007A36EF">
        <w:rPr>
          <w:color w:val="0F0F0F"/>
          <w:spacing w:val="10"/>
          <w:w w:val="105"/>
        </w:rPr>
        <w:t xml:space="preserve"> </w:t>
      </w:r>
      <w:r w:rsidRPr="007A36EF">
        <w:rPr>
          <w:color w:val="0F0F0F"/>
          <w:w w:val="105"/>
        </w:rPr>
        <w:t>exhibit).</w:t>
      </w:r>
    </w:p>
    <w:p w14:paraId="1D7F33A4" w14:textId="77777777" w:rsidR="002554C3" w:rsidRDefault="002554C3" w:rsidP="002554C3">
      <w:pPr>
        <w:pStyle w:val="ListParagraph"/>
        <w:widowControl w:val="0"/>
        <w:numPr>
          <w:ilvl w:val="0"/>
          <w:numId w:val="41"/>
        </w:numPr>
        <w:tabs>
          <w:tab w:val="left" w:pos="1025"/>
        </w:tabs>
        <w:autoSpaceDE w:val="0"/>
        <w:autoSpaceDN w:val="0"/>
        <w:spacing w:before="60" w:line="259" w:lineRule="auto"/>
        <w:contextualSpacing w:val="0"/>
        <w:rPr>
          <w:color w:val="0F0F0F"/>
          <w:w w:val="105"/>
        </w:rPr>
      </w:pPr>
      <w:r w:rsidRPr="007A36EF">
        <w:rPr>
          <w:color w:val="0F0F0F"/>
          <w:w w:val="105"/>
        </w:rPr>
        <w:t>AHFC</w:t>
      </w:r>
      <w:r w:rsidRPr="007A36EF">
        <w:rPr>
          <w:color w:val="0F0F0F"/>
          <w:spacing w:val="-27"/>
          <w:w w:val="105"/>
        </w:rPr>
        <w:t xml:space="preserve"> </w:t>
      </w:r>
      <w:r w:rsidRPr="007A36EF">
        <w:rPr>
          <w:color w:val="0F0F0F"/>
          <w:w w:val="105"/>
        </w:rPr>
        <w:t>may</w:t>
      </w:r>
      <w:r w:rsidRPr="007A36EF">
        <w:rPr>
          <w:color w:val="0F0F0F"/>
          <w:spacing w:val="-26"/>
          <w:w w:val="105"/>
        </w:rPr>
        <w:t xml:space="preserve"> </w:t>
      </w:r>
      <w:r w:rsidRPr="007A36EF">
        <w:rPr>
          <w:color w:val="0F0F0F"/>
          <w:w w:val="105"/>
        </w:rPr>
        <w:t>not</w:t>
      </w:r>
      <w:r w:rsidRPr="007A36EF">
        <w:rPr>
          <w:color w:val="0F0F0F"/>
          <w:spacing w:val="-25"/>
          <w:w w:val="105"/>
        </w:rPr>
        <w:t xml:space="preserve"> </w:t>
      </w:r>
      <w:r w:rsidRPr="007A36EF">
        <w:rPr>
          <w:color w:val="0F0F0F"/>
          <w:w w:val="105"/>
        </w:rPr>
        <w:t>deny</w:t>
      </w:r>
      <w:r w:rsidRPr="007A36EF">
        <w:rPr>
          <w:color w:val="0F0F0F"/>
          <w:spacing w:val="-30"/>
          <w:w w:val="105"/>
        </w:rPr>
        <w:t xml:space="preserve"> </w:t>
      </w:r>
      <w:r w:rsidRPr="007A36EF">
        <w:rPr>
          <w:color w:val="0F0F0F"/>
          <w:w w:val="105"/>
        </w:rPr>
        <w:t>admission</w:t>
      </w:r>
      <w:r w:rsidRPr="007A36EF">
        <w:rPr>
          <w:color w:val="0F0F0F"/>
          <w:spacing w:val="-20"/>
          <w:w w:val="105"/>
        </w:rPr>
        <w:t xml:space="preserve"> </w:t>
      </w:r>
      <w:r w:rsidRPr="007A36EF">
        <w:rPr>
          <w:color w:val="0F0F0F"/>
          <w:w w:val="105"/>
        </w:rPr>
        <w:t>for</w:t>
      </w:r>
      <w:r w:rsidRPr="007A36EF">
        <w:rPr>
          <w:color w:val="0F0F0F"/>
          <w:spacing w:val="-24"/>
          <w:w w:val="105"/>
        </w:rPr>
        <w:t xml:space="preserve"> </w:t>
      </w:r>
      <w:r w:rsidRPr="007A36EF">
        <w:rPr>
          <w:color w:val="0F0F0F"/>
          <w:w w:val="105"/>
        </w:rPr>
        <w:t>drug-related</w:t>
      </w:r>
      <w:r w:rsidRPr="007A36EF">
        <w:rPr>
          <w:color w:val="0F0F0F"/>
          <w:spacing w:val="-16"/>
          <w:w w:val="105"/>
        </w:rPr>
        <w:t xml:space="preserve"> </w:t>
      </w:r>
      <w:r w:rsidRPr="007A36EF">
        <w:rPr>
          <w:color w:val="0F0F0F"/>
          <w:w w:val="105"/>
        </w:rPr>
        <w:t>criminal</w:t>
      </w:r>
      <w:r w:rsidRPr="007A36EF">
        <w:rPr>
          <w:color w:val="0F0F0F"/>
          <w:spacing w:val="-23"/>
          <w:w w:val="105"/>
        </w:rPr>
        <w:t xml:space="preserve"> </w:t>
      </w:r>
      <w:r w:rsidRPr="007A36EF">
        <w:rPr>
          <w:color w:val="0F0F0F"/>
          <w:w w:val="105"/>
        </w:rPr>
        <w:t>activity</w:t>
      </w:r>
      <w:r w:rsidRPr="007A36EF">
        <w:rPr>
          <w:color w:val="0F0F0F"/>
          <w:spacing w:val="-28"/>
          <w:w w:val="105"/>
        </w:rPr>
        <w:t xml:space="preserve"> </w:t>
      </w:r>
      <w:r w:rsidRPr="007A36EF">
        <w:rPr>
          <w:color w:val="0F0F0F"/>
          <w:w w:val="105"/>
        </w:rPr>
        <w:t>(sections</w:t>
      </w:r>
      <w:r w:rsidRPr="007A36EF">
        <w:rPr>
          <w:color w:val="0F0F0F"/>
          <w:spacing w:val="-27"/>
          <w:w w:val="105"/>
        </w:rPr>
        <w:t xml:space="preserve"> </w:t>
      </w:r>
      <w:r w:rsidRPr="007A36EF">
        <w:rPr>
          <w:color w:val="0F0F0F"/>
          <w:w w:val="105"/>
        </w:rPr>
        <w:t>1.D</w:t>
      </w:r>
      <w:r w:rsidRPr="007A36EF">
        <w:rPr>
          <w:color w:val="0F0F0F"/>
          <w:spacing w:val="-31"/>
          <w:w w:val="105"/>
        </w:rPr>
        <w:t xml:space="preserve"> </w:t>
      </w:r>
      <w:r w:rsidRPr="007A36EF">
        <w:rPr>
          <w:color w:val="0F0F0F"/>
          <w:w w:val="105"/>
        </w:rPr>
        <w:t>Drug-Related Criminal Activity Eviction and 1.E Drug-Related Activities of the Meet Screening Criteria exhibit).</w:t>
      </w:r>
    </w:p>
    <w:p w14:paraId="33ECE894" w14:textId="77777777" w:rsidR="002554C3" w:rsidRPr="007A36EF" w:rsidRDefault="002554C3" w:rsidP="002554C3">
      <w:pPr>
        <w:pStyle w:val="ListParagraph"/>
        <w:widowControl w:val="0"/>
        <w:tabs>
          <w:tab w:val="left" w:pos="1025"/>
        </w:tabs>
        <w:autoSpaceDE w:val="0"/>
        <w:autoSpaceDN w:val="0"/>
        <w:spacing w:before="60" w:line="259" w:lineRule="auto"/>
        <w:ind w:left="1080" w:right="935"/>
        <w:contextualSpacing w:val="0"/>
        <w:rPr>
          <w:color w:val="0F0F0F"/>
          <w:w w:val="105"/>
        </w:rPr>
      </w:pPr>
    </w:p>
    <w:p w14:paraId="22A352FB" w14:textId="77777777" w:rsidR="002554C3" w:rsidRPr="007A36EF" w:rsidRDefault="002554C3" w:rsidP="002554C3">
      <w:r w:rsidRPr="007A36EF">
        <w:t xml:space="preserve">Applicant families that are ineligible will receive the Ineligibility Notice along with the Applicant Informal Review. AHFC will copy the CoC point of contact </w:t>
      </w:r>
      <w:r>
        <w:t xml:space="preserve">or service provider </w:t>
      </w:r>
      <w:r w:rsidRPr="007A36EF">
        <w:t>with the Ineligibility Notice so they may assist the family.</w:t>
      </w:r>
    </w:p>
    <w:p w14:paraId="6EB31929" w14:textId="77777777" w:rsidR="002554C3" w:rsidRPr="007A36EF" w:rsidRDefault="002554C3" w:rsidP="002554C3">
      <w:pPr>
        <w:rPr>
          <w:color w:val="0F0F0F"/>
          <w:w w:val="105"/>
        </w:rPr>
      </w:pPr>
    </w:p>
    <w:p w14:paraId="67D919A7" w14:textId="37F9E5CD" w:rsidR="002554C3" w:rsidRPr="007A36EF" w:rsidRDefault="002554C3" w:rsidP="00DF7FAC">
      <w:pPr>
        <w:pStyle w:val="2Level21A"/>
      </w:pPr>
      <w:r w:rsidRPr="007A36EF">
        <w:t>Income Eligibility</w:t>
      </w:r>
    </w:p>
    <w:p w14:paraId="0EB9FAE8" w14:textId="77777777" w:rsidR="002554C3" w:rsidRPr="00DF7FAC" w:rsidRDefault="002554C3" w:rsidP="00DF7FAC">
      <w:pPr>
        <w:pStyle w:val="6PolicyTitle"/>
      </w:pPr>
      <w:r w:rsidRPr="00DF7FAC">
        <w:t>AHFC Policy</w:t>
      </w:r>
    </w:p>
    <w:p w14:paraId="0FDB4497" w14:textId="77777777" w:rsidR="002554C3" w:rsidRPr="007A36EF" w:rsidRDefault="002554C3" w:rsidP="002554C3">
      <w:pPr>
        <w:pStyle w:val="6aPolicyTxt"/>
      </w:pPr>
      <w:r w:rsidRPr="007A36EF">
        <w:t xml:space="preserve">Under Moving to Work Activity 2014-1 Reasonable Rent and Family Self-Sufficiency Initiative approved by AHFC’s Board of Directors with Resolution 2013-11 on February 27, 2013, </w:t>
      </w:r>
      <w:r>
        <w:t>SV</w:t>
      </w:r>
      <w:r w:rsidRPr="007A36EF">
        <w:t xml:space="preserve"> vouchers are part of AHFC’s Set Aside program and subject to a streamlined income calculation.</w:t>
      </w:r>
    </w:p>
    <w:p w14:paraId="69E31212" w14:textId="77777777" w:rsidR="002554C3" w:rsidRPr="007A36EF" w:rsidRDefault="002554C3" w:rsidP="002554C3">
      <w:pPr>
        <w:pStyle w:val="3aBody"/>
      </w:pPr>
    </w:p>
    <w:p w14:paraId="473925BD" w14:textId="77777777" w:rsidR="002554C3" w:rsidRPr="007A36EF" w:rsidRDefault="002554C3" w:rsidP="00DF7FAC">
      <w:pPr>
        <w:pStyle w:val="3Level31A1"/>
      </w:pPr>
      <w:r w:rsidRPr="007A36EF">
        <w:t>Supplemental Security (SSI) and Social Security (SSA or SSDI) Income Benefit Letters</w:t>
      </w:r>
    </w:p>
    <w:p w14:paraId="76699E65" w14:textId="77777777" w:rsidR="002554C3" w:rsidRPr="007A36EF" w:rsidRDefault="002554C3" w:rsidP="002554C3">
      <w:pPr>
        <w:pStyle w:val="BodyText"/>
        <w:spacing w:line="256" w:lineRule="auto"/>
        <w:rPr>
          <w:rFonts w:ascii="Book Antiqua" w:hAnsi="Book Antiqua"/>
        </w:rPr>
      </w:pPr>
      <w:r>
        <w:rPr>
          <w:rFonts w:ascii="Book Antiqua" w:hAnsi="Book Antiqua"/>
        </w:rPr>
        <w:t>SV</w:t>
      </w:r>
      <w:r w:rsidRPr="007A36EF">
        <w:rPr>
          <w:rFonts w:ascii="Book Antiqua" w:hAnsi="Book Antiqua"/>
        </w:rPr>
        <w:t xml:space="preserve"> families receiving SSI, SSA, and/or SSDI benefits can self-certify this income or AHFC will accept documentation older than 60 days. </w:t>
      </w:r>
      <w:r w:rsidRPr="007A36EF">
        <w:rPr>
          <w:rFonts w:ascii="Book Antiqua" w:hAnsi="Book Antiqua"/>
          <w:color w:val="0E0E0E"/>
          <w:w w:val="105"/>
        </w:rPr>
        <w:t>In those instances where AHFC has accepted a family's self-certification of income, staff will pull EIV</w:t>
      </w:r>
      <w:r w:rsidRPr="007A36EF">
        <w:rPr>
          <w:rFonts w:ascii="Book Antiqua" w:hAnsi="Book Antiqua"/>
          <w:color w:val="0E0E0E"/>
          <w:spacing w:val="-15"/>
          <w:w w:val="105"/>
        </w:rPr>
        <w:t xml:space="preserve"> </w:t>
      </w:r>
      <w:r w:rsidRPr="007A36EF">
        <w:rPr>
          <w:rFonts w:ascii="Book Antiqua" w:hAnsi="Book Antiqua"/>
          <w:color w:val="0E0E0E"/>
          <w:w w:val="105"/>
        </w:rPr>
        <w:t>after</w:t>
      </w:r>
      <w:r w:rsidRPr="007A36EF">
        <w:rPr>
          <w:rFonts w:ascii="Book Antiqua" w:hAnsi="Book Antiqua"/>
          <w:color w:val="0E0E0E"/>
          <w:spacing w:val="-15"/>
          <w:w w:val="105"/>
        </w:rPr>
        <w:t xml:space="preserve"> </w:t>
      </w:r>
      <w:r w:rsidRPr="007A36EF">
        <w:rPr>
          <w:rFonts w:ascii="Book Antiqua" w:hAnsi="Book Antiqua"/>
          <w:color w:val="0E0E0E"/>
          <w:w w:val="105"/>
        </w:rPr>
        <w:t>the</w:t>
      </w:r>
      <w:r w:rsidRPr="007A36EF">
        <w:rPr>
          <w:rFonts w:ascii="Book Antiqua" w:hAnsi="Book Antiqua"/>
          <w:color w:val="0E0E0E"/>
          <w:spacing w:val="-15"/>
          <w:w w:val="105"/>
        </w:rPr>
        <w:t xml:space="preserve"> </w:t>
      </w:r>
      <w:r w:rsidRPr="007A36EF">
        <w:rPr>
          <w:rFonts w:ascii="Book Antiqua" w:hAnsi="Book Antiqua"/>
          <w:color w:val="0E0E0E"/>
          <w:w w:val="105"/>
        </w:rPr>
        <w:t>New</w:t>
      </w:r>
      <w:r w:rsidRPr="007A36EF">
        <w:rPr>
          <w:rFonts w:ascii="Book Antiqua" w:hAnsi="Book Antiqua"/>
          <w:color w:val="0E0E0E"/>
          <w:spacing w:val="-13"/>
          <w:w w:val="105"/>
        </w:rPr>
        <w:t xml:space="preserve"> </w:t>
      </w:r>
      <w:r w:rsidRPr="007A36EF">
        <w:rPr>
          <w:rFonts w:ascii="Book Antiqua" w:hAnsi="Book Antiqua"/>
          <w:color w:val="0E0E0E"/>
          <w:w w:val="105"/>
        </w:rPr>
        <w:t>Admission 50058 is submitted to HUD. Staff</w:t>
      </w:r>
      <w:r w:rsidRPr="007A36EF">
        <w:rPr>
          <w:rFonts w:ascii="Book Antiqua" w:hAnsi="Book Antiqua"/>
          <w:color w:val="0E0E0E"/>
          <w:spacing w:val="-9"/>
          <w:w w:val="105"/>
        </w:rPr>
        <w:t xml:space="preserve"> </w:t>
      </w:r>
      <w:r w:rsidRPr="007A36EF">
        <w:rPr>
          <w:rFonts w:ascii="Book Antiqua" w:hAnsi="Book Antiqua"/>
          <w:color w:val="0E0E0E"/>
          <w:w w:val="105"/>
        </w:rPr>
        <w:t>will:</w:t>
      </w:r>
    </w:p>
    <w:p w14:paraId="4CEE879F" w14:textId="77777777" w:rsidR="002554C3" w:rsidRPr="007A36EF" w:rsidRDefault="002554C3" w:rsidP="002554C3">
      <w:pPr>
        <w:pStyle w:val="ListParagraph"/>
        <w:widowControl w:val="0"/>
        <w:numPr>
          <w:ilvl w:val="0"/>
          <w:numId w:val="42"/>
        </w:numPr>
        <w:tabs>
          <w:tab w:val="left" w:pos="1546"/>
          <w:tab w:val="left" w:pos="1547"/>
        </w:tabs>
        <w:autoSpaceDE w:val="0"/>
        <w:autoSpaceDN w:val="0"/>
        <w:spacing w:before="29"/>
      </w:pPr>
      <w:r w:rsidRPr="007A36EF">
        <w:rPr>
          <w:color w:val="0E0E0E"/>
          <w:w w:val="105"/>
        </w:rPr>
        <w:t>Review the EIV report and compare to the family's reported</w:t>
      </w:r>
      <w:r w:rsidRPr="007A36EF">
        <w:rPr>
          <w:color w:val="0E0E0E"/>
          <w:spacing w:val="-25"/>
          <w:w w:val="105"/>
        </w:rPr>
        <w:t xml:space="preserve"> </w:t>
      </w:r>
      <w:r w:rsidRPr="007A36EF">
        <w:rPr>
          <w:color w:val="0E0E0E"/>
          <w:w w:val="105"/>
        </w:rPr>
        <w:t>information.</w:t>
      </w:r>
    </w:p>
    <w:p w14:paraId="75D5AD35" w14:textId="77777777" w:rsidR="002554C3" w:rsidRPr="007A36EF" w:rsidRDefault="002554C3" w:rsidP="002554C3">
      <w:pPr>
        <w:pStyle w:val="ListParagraph"/>
        <w:widowControl w:val="0"/>
        <w:numPr>
          <w:ilvl w:val="0"/>
          <w:numId w:val="42"/>
        </w:numPr>
        <w:tabs>
          <w:tab w:val="left" w:pos="1546"/>
          <w:tab w:val="left" w:pos="1547"/>
        </w:tabs>
        <w:autoSpaceDE w:val="0"/>
        <w:autoSpaceDN w:val="0"/>
        <w:spacing w:before="29"/>
      </w:pPr>
      <w:r w:rsidRPr="007A36EF">
        <w:rPr>
          <w:color w:val="0E0E0E"/>
        </w:rPr>
        <w:t>Resolve any discrepancies between the EIV report and the family information within 60 days of the EIV report date. This is a HUD</w:t>
      </w:r>
      <w:r w:rsidRPr="007A36EF">
        <w:rPr>
          <w:color w:val="0E0E0E"/>
          <w:spacing w:val="-24"/>
        </w:rPr>
        <w:t xml:space="preserve"> </w:t>
      </w:r>
      <w:r w:rsidRPr="007A36EF">
        <w:rPr>
          <w:color w:val="0E0E0E"/>
        </w:rPr>
        <w:t>requirement.</w:t>
      </w:r>
    </w:p>
    <w:p w14:paraId="2162D147" w14:textId="77777777" w:rsidR="002554C3" w:rsidRDefault="002554C3" w:rsidP="002554C3"/>
    <w:p w14:paraId="6703508E" w14:textId="77777777" w:rsidR="002554C3" w:rsidRDefault="002554C3" w:rsidP="00DF7FAC">
      <w:pPr>
        <w:pStyle w:val="3Level31A1"/>
      </w:pPr>
      <w:r w:rsidRPr="00FE5A18">
        <w:t xml:space="preserve">All Other Sources of Income </w:t>
      </w:r>
    </w:p>
    <w:p w14:paraId="05364788" w14:textId="77777777" w:rsidR="002554C3" w:rsidRPr="007A36EF" w:rsidRDefault="002554C3" w:rsidP="002554C3">
      <w:pPr>
        <w:widowControl w:val="0"/>
        <w:tabs>
          <w:tab w:val="left" w:pos="1546"/>
          <w:tab w:val="left" w:pos="1547"/>
        </w:tabs>
        <w:autoSpaceDE w:val="0"/>
        <w:autoSpaceDN w:val="0"/>
        <w:spacing w:before="29"/>
      </w:pPr>
      <w:r>
        <w:t>SV</w:t>
      </w:r>
      <w:r w:rsidRPr="007A36EF">
        <w:t xml:space="preserve"> families can self-certify </w:t>
      </w:r>
      <w:r>
        <w:t>all</w:t>
      </w:r>
      <w:r w:rsidRPr="007A36EF">
        <w:t xml:space="preserve"> income or AHFC will accept documentation older than 60 days. </w:t>
      </w:r>
      <w:r w:rsidRPr="00FE5A18">
        <w:rPr>
          <w:color w:val="0E0E0E"/>
          <w:w w:val="105"/>
        </w:rPr>
        <w:t>If the income type is not reported to EIV, staff must obtain verification</w:t>
      </w:r>
      <w:r>
        <w:rPr>
          <w:color w:val="0E0E0E"/>
          <w:w w:val="105"/>
        </w:rPr>
        <w:t xml:space="preserve"> through state system, </w:t>
      </w:r>
      <w:r w:rsidRPr="00FE5A18">
        <w:rPr>
          <w:color w:val="0E0E0E"/>
          <w:w w:val="105"/>
        </w:rPr>
        <w:t>third party verification</w:t>
      </w:r>
      <w:r>
        <w:rPr>
          <w:color w:val="0E0E0E"/>
          <w:w w:val="105"/>
        </w:rPr>
        <w:t xml:space="preserve"> or tenant provided documentation</w:t>
      </w:r>
      <w:r w:rsidRPr="00FE5A18">
        <w:rPr>
          <w:color w:val="0E0E0E"/>
          <w:w w:val="105"/>
        </w:rPr>
        <w:t>.</w:t>
      </w:r>
      <w:r>
        <w:rPr>
          <w:color w:val="0E0E0E"/>
          <w:w w:val="105"/>
        </w:rPr>
        <w:t xml:space="preserve"> </w:t>
      </w:r>
      <w:r w:rsidRPr="007A36EF">
        <w:rPr>
          <w:color w:val="0E0E0E"/>
          <w:w w:val="105"/>
        </w:rPr>
        <w:t>In those instances where AHFC has accepted a family's self-certification of income, pull EIV</w:t>
      </w:r>
      <w:r w:rsidRPr="007A36EF">
        <w:rPr>
          <w:color w:val="0E0E0E"/>
          <w:spacing w:val="-15"/>
          <w:w w:val="105"/>
        </w:rPr>
        <w:t xml:space="preserve"> </w:t>
      </w:r>
      <w:r w:rsidRPr="007A36EF">
        <w:rPr>
          <w:color w:val="0E0E0E"/>
          <w:w w:val="105"/>
        </w:rPr>
        <w:t>after</w:t>
      </w:r>
      <w:r w:rsidRPr="007A36EF">
        <w:rPr>
          <w:color w:val="0E0E0E"/>
          <w:spacing w:val="-15"/>
          <w:w w:val="105"/>
        </w:rPr>
        <w:t xml:space="preserve"> </w:t>
      </w:r>
      <w:r w:rsidRPr="007A36EF">
        <w:rPr>
          <w:color w:val="0E0E0E"/>
          <w:w w:val="105"/>
        </w:rPr>
        <w:t>the</w:t>
      </w:r>
      <w:r w:rsidRPr="007A36EF">
        <w:rPr>
          <w:color w:val="0E0E0E"/>
          <w:spacing w:val="-15"/>
          <w:w w:val="105"/>
        </w:rPr>
        <w:t xml:space="preserve"> </w:t>
      </w:r>
      <w:r w:rsidRPr="007A36EF">
        <w:rPr>
          <w:color w:val="0E0E0E"/>
          <w:w w:val="105"/>
        </w:rPr>
        <w:t>New</w:t>
      </w:r>
      <w:r w:rsidRPr="007A36EF">
        <w:rPr>
          <w:color w:val="0E0E0E"/>
          <w:spacing w:val="-13"/>
          <w:w w:val="105"/>
        </w:rPr>
        <w:t xml:space="preserve"> </w:t>
      </w:r>
      <w:r w:rsidRPr="007A36EF">
        <w:rPr>
          <w:color w:val="0E0E0E"/>
          <w:w w:val="105"/>
        </w:rPr>
        <w:t>Admission 50058 is submitted to HUD. Staff</w:t>
      </w:r>
      <w:r w:rsidRPr="007A36EF">
        <w:rPr>
          <w:color w:val="0E0E0E"/>
          <w:spacing w:val="-9"/>
          <w:w w:val="105"/>
        </w:rPr>
        <w:t xml:space="preserve"> </w:t>
      </w:r>
      <w:r w:rsidRPr="007A36EF">
        <w:rPr>
          <w:color w:val="0E0E0E"/>
          <w:w w:val="105"/>
        </w:rPr>
        <w:t>will:</w:t>
      </w:r>
    </w:p>
    <w:p w14:paraId="0E62EE1F" w14:textId="77777777" w:rsidR="002554C3" w:rsidRPr="00FE5A18" w:rsidRDefault="002554C3" w:rsidP="002554C3">
      <w:pPr>
        <w:pStyle w:val="ListParagraph"/>
        <w:widowControl w:val="0"/>
        <w:numPr>
          <w:ilvl w:val="0"/>
          <w:numId w:val="42"/>
        </w:numPr>
        <w:tabs>
          <w:tab w:val="left" w:pos="1546"/>
          <w:tab w:val="left" w:pos="1547"/>
        </w:tabs>
        <w:autoSpaceDE w:val="0"/>
        <w:autoSpaceDN w:val="0"/>
        <w:spacing w:before="29"/>
      </w:pPr>
      <w:r w:rsidRPr="007A36EF">
        <w:rPr>
          <w:color w:val="0E0E0E"/>
          <w:w w:val="105"/>
        </w:rPr>
        <w:t>Review the EIV report and compare to the family's reported</w:t>
      </w:r>
      <w:r w:rsidRPr="007A36EF">
        <w:rPr>
          <w:color w:val="0E0E0E"/>
          <w:spacing w:val="-25"/>
          <w:w w:val="105"/>
        </w:rPr>
        <w:t xml:space="preserve"> </w:t>
      </w:r>
      <w:r w:rsidRPr="007A36EF">
        <w:rPr>
          <w:color w:val="0E0E0E"/>
          <w:w w:val="105"/>
        </w:rPr>
        <w:t>information.</w:t>
      </w:r>
    </w:p>
    <w:p w14:paraId="0455DA35" w14:textId="77777777" w:rsidR="002554C3" w:rsidRPr="007A36EF" w:rsidRDefault="002554C3" w:rsidP="002554C3">
      <w:pPr>
        <w:pStyle w:val="ListParagraph"/>
        <w:widowControl w:val="0"/>
        <w:numPr>
          <w:ilvl w:val="0"/>
          <w:numId w:val="42"/>
        </w:numPr>
        <w:tabs>
          <w:tab w:val="left" w:pos="1546"/>
          <w:tab w:val="left" w:pos="1547"/>
        </w:tabs>
        <w:autoSpaceDE w:val="0"/>
        <w:autoSpaceDN w:val="0"/>
        <w:spacing w:before="29"/>
      </w:pPr>
      <w:r w:rsidRPr="007A36EF">
        <w:rPr>
          <w:color w:val="0E0E0E"/>
        </w:rPr>
        <w:t>Resolve any discrepancies between the EIV report and the family information within 60 days of the EIV report date. This is a HUD</w:t>
      </w:r>
      <w:r w:rsidRPr="007A36EF">
        <w:rPr>
          <w:color w:val="0E0E0E"/>
          <w:spacing w:val="-24"/>
        </w:rPr>
        <w:t xml:space="preserve"> </w:t>
      </w:r>
      <w:r w:rsidRPr="007A36EF">
        <w:rPr>
          <w:color w:val="0E0E0E"/>
        </w:rPr>
        <w:t>requirement.</w:t>
      </w:r>
    </w:p>
    <w:p w14:paraId="6CA0C68B" w14:textId="77777777" w:rsidR="002554C3" w:rsidRDefault="002554C3" w:rsidP="002554C3">
      <w:pPr>
        <w:rPr>
          <w:b/>
        </w:rPr>
      </w:pPr>
    </w:p>
    <w:p w14:paraId="6EEDB18A" w14:textId="35DD8B17" w:rsidR="002554C3" w:rsidRPr="00DF7FAC" w:rsidRDefault="002554C3" w:rsidP="00DF7FAC">
      <w:pPr>
        <w:pStyle w:val="1Level11"/>
      </w:pPr>
      <w:r w:rsidRPr="00DF7FAC">
        <w:t>Program Operations</w:t>
      </w:r>
    </w:p>
    <w:p w14:paraId="2FC0DC77" w14:textId="77777777" w:rsidR="002554C3" w:rsidRPr="007A36EF" w:rsidRDefault="002554C3" w:rsidP="002554C3">
      <w:pPr>
        <w:pStyle w:val="3aBody"/>
      </w:pPr>
      <w:r w:rsidRPr="007A36EF">
        <w:t xml:space="preserve">All opportunities available to MTW voucher families are available to </w:t>
      </w:r>
      <w:r>
        <w:t>SV</w:t>
      </w:r>
      <w:r w:rsidRPr="007A36EF">
        <w:t xml:space="preserve"> families. The following sections detail exceptions to HCV Administrative Plan operations.</w:t>
      </w:r>
    </w:p>
    <w:p w14:paraId="14D69946" w14:textId="77777777" w:rsidR="002554C3" w:rsidRPr="007A36EF" w:rsidRDefault="002554C3" w:rsidP="002554C3">
      <w:pPr>
        <w:pStyle w:val="3aBody"/>
      </w:pPr>
    </w:p>
    <w:p w14:paraId="07C2D652" w14:textId="509977AB" w:rsidR="002554C3" w:rsidRPr="00DF7FAC" w:rsidRDefault="002554C3" w:rsidP="00DF7FAC">
      <w:pPr>
        <w:pStyle w:val="2Level21A"/>
      </w:pPr>
      <w:r w:rsidRPr="00DF7FAC">
        <w:t>50058 Coding Requirements</w:t>
      </w:r>
    </w:p>
    <w:p w14:paraId="58A4AAA1" w14:textId="77777777" w:rsidR="002554C3" w:rsidRPr="00DF7FAC" w:rsidRDefault="002554C3" w:rsidP="00DF7FAC">
      <w:pPr>
        <w:pStyle w:val="6PolicyTitle"/>
      </w:pPr>
      <w:r w:rsidRPr="00DF7FAC">
        <w:t>HUD Guidance</w:t>
      </w:r>
    </w:p>
    <w:p w14:paraId="4032CE16" w14:textId="77777777" w:rsidR="002554C3" w:rsidRPr="007A36EF" w:rsidRDefault="002554C3" w:rsidP="002554C3">
      <w:pPr>
        <w:pStyle w:val="6aPolicyTxt"/>
      </w:pPr>
      <w:r w:rsidRPr="007A36EF">
        <w:t>A n</w:t>
      </w:r>
      <w:r>
        <w:t>ew code (S</w:t>
      </w:r>
      <w:r w:rsidRPr="007A36EF">
        <w:t xml:space="preserve">V) has been established for use on line 2n of the Family Report (form HUD–50058), which provides for an indication if the family participates in ‘‘other special programs.’’ </w:t>
      </w:r>
    </w:p>
    <w:p w14:paraId="7818F589" w14:textId="77777777" w:rsidR="002554C3" w:rsidRPr="007A36EF" w:rsidRDefault="002554C3" w:rsidP="002554C3">
      <w:pPr>
        <w:pStyle w:val="3aBody"/>
      </w:pPr>
    </w:p>
    <w:p w14:paraId="709076E9" w14:textId="745E83E8" w:rsidR="002554C3" w:rsidRPr="00DF7FAC" w:rsidRDefault="002554C3" w:rsidP="00DF7FAC">
      <w:pPr>
        <w:pStyle w:val="2Level21A"/>
      </w:pPr>
      <w:r w:rsidRPr="00DF7FAC">
        <w:t>Enterprise Income Verification (EIV)</w:t>
      </w:r>
    </w:p>
    <w:p w14:paraId="712EC972" w14:textId="77777777" w:rsidR="002554C3" w:rsidRPr="007A36EF" w:rsidRDefault="002554C3" w:rsidP="002554C3">
      <w:pPr>
        <w:pStyle w:val="3aBody"/>
      </w:pPr>
      <w:r w:rsidRPr="007A36EF">
        <w:t xml:space="preserve">These vouchers are reported to HUD. Therefore, rules regarding Enterprise Income Verification (EIV) </w:t>
      </w:r>
      <w:r w:rsidRPr="007A36EF">
        <w:rPr>
          <w:b/>
          <w:u w:val="single"/>
        </w:rPr>
        <w:t>apply</w:t>
      </w:r>
      <w:r w:rsidRPr="007A36EF">
        <w:t>.</w:t>
      </w:r>
    </w:p>
    <w:p w14:paraId="2AF2FD8C" w14:textId="77777777" w:rsidR="002554C3" w:rsidRPr="007A36EF" w:rsidRDefault="002554C3" w:rsidP="002554C3">
      <w:pPr>
        <w:pStyle w:val="3aBody"/>
      </w:pPr>
    </w:p>
    <w:p w14:paraId="46F5A353" w14:textId="3F343262" w:rsidR="002554C3" w:rsidRPr="00DF7FAC" w:rsidRDefault="002554C3" w:rsidP="00DF7FAC">
      <w:pPr>
        <w:pStyle w:val="2Level21A"/>
      </w:pPr>
      <w:r w:rsidRPr="00DF7FAC">
        <w:t>Examinations</w:t>
      </w:r>
    </w:p>
    <w:p w14:paraId="58877B39" w14:textId="77777777" w:rsidR="002554C3" w:rsidRPr="007A36EF" w:rsidRDefault="002554C3" w:rsidP="002554C3">
      <w:pPr>
        <w:pStyle w:val="3aBody"/>
      </w:pPr>
      <w:r w:rsidRPr="007A36EF">
        <w:t xml:space="preserve">All </w:t>
      </w:r>
      <w:r>
        <w:t>SV</w:t>
      </w:r>
      <w:r w:rsidRPr="007A36EF">
        <w:t xml:space="preserve"> families will be subject to annual income and composition examinations. Families are not required to maintain supportive services </w:t>
      </w:r>
      <w:r>
        <w:t>in order to remain eligible for</w:t>
      </w:r>
      <w:r w:rsidRPr="007A36EF">
        <w:t xml:space="preserve"> assistance</w:t>
      </w:r>
      <w:r>
        <w:t xml:space="preserve"> on the S</w:t>
      </w:r>
      <w:r w:rsidRPr="007A36EF">
        <w:t>V program.</w:t>
      </w:r>
    </w:p>
    <w:p w14:paraId="608F0BE7" w14:textId="77777777" w:rsidR="002554C3" w:rsidRPr="007A36EF" w:rsidRDefault="002554C3" w:rsidP="002554C3">
      <w:pPr>
        <w:pStyle w:val="3aBody"/>
      </w:pPr>
    </w:p>
    <w:p w14:paraId="6AC880B8" w14:textId="4769B5DF" w:rsidR="002554C3" w:rsidRPr="00DF7FAC" w:rsidRDefault="002554C3" w:rsidP="00DF7FAC">
      <w:pPr>
        <w:pStyle w:val="2Level21A"/>
      </w:pPr>
      <w:r w:rsidRPr="00DF7FAC">
        <w:t>Inspection Requirements</w:t>
      </w:r>
    </w:p>
    <w:p w14:paraId="28FF10F3" w14:textId="77777777" w:rsidR="002554C3" w:rsidRPr="007A36EF" w:rsidRDefault="002554C3" w:rsidP="002554C3">
      <w:pPr>
        <w:pStyle w:val="3aBody"/>
      </w:pPr>
      <w:r>
        <w:t>S</w:t>
      </w:r>
      <w:r w:rsidRPr="007A36EF">
        <w:t>V vou</w:t>
      </w:r>
      <w:r w:rsidRPr="00A864D8">
        <w:t>chers will follow the inspection requirements as set forth in the National Standard for the Physical Inspection of Real Estate chapter.</w:t>
      </w:r>
    </w:p>
    <w:p w14:paraId="5C3A08BA" w14:textId="77777777" w:rsidR="002554C3" w:rsidRPr="007A36EF" w:rsidRDefault="002554C3" w:rsidP="002554C3">
      <w:pPr>
        <w:pStyle w:val="3aBody"/>
      </w:pPr>
    </w:p>
    <w:p w14:paraId="396DA83B" w14:textId="10A6BC51" w:rsidR="002554C3" w:rsidRPr="00DF7FAC" w:rsidRDefault="002554C3" w:rsidP="00DF7FAC">
      <w:pPr>
        <w:pStyle w:val="1Level11"/>
      </w:pPr>
      <w:r w:rsidRPr="00DF7FAC">
        <w:t xml:space="preserve">Leasing </w:t>
      </w:r>
    </w:p>
    <w:p w14:paraId="3EDB9F0C" w14:textId="020F0D1C" w:rsidR="002554C3" w:rsidRPr="007A36EF" w:rsidRDefault="002554C3" w:rsidP="00DF7FAC">
      <w:pPr>
        <w:pStyle w:val="2Level21A"/>
      </w:pPr>
      <w:bookmarkStart w:id="16" w:name="_Toc510171710"/>
      <w:bookmarkStart w:id="17" w:name="_Toc94544702"/>
      <w:r w:rsidRPr="007A36EF">
        <w:t>Initial Search Term</w:t>
      </w:r>
      <w:bookmarkEnd w:id="16"/>
      <w:bookmarkEnd w:id="17"/>
    </w:p>
    <w:p w14:paraId="0A71715F" w14:textId="77777777" w:rsidR="002554C3" w:rsidRPr="00DF7FAC" w:rsidRDefault="002554C3" w:rsidP="00DF7FAC">
      <w:pPr>
        <w:pStyle w:val="6PolicyTitle"/>
      </w:pPr>
      <w:r w:rsidRPr="00DF7FAC">
        <w:t>AHFC Policy</w:t>
      </w:r>
    </w:p>
    <w:p w14:paraId="3D16ED1A" w14:textId="77777777" w:rsidR="002554C3" w:rsidRPr="007A36EF" w:rsidRDefault="002554C3" w:rsidP="002554C3">
      <w:pPr>
        <w:pStyle w:val="6aPolicyTxt"/>
      </w:pPr>
      <w:r>
        <w:t>S</w:t>
      </w:r>
      <w:r w:rsidRPr="007A36EF">
        <w:t>V families must have an initial search term of at least 120 days. Any extensions, suspensions, and progress reports will remain under the policies in the PHA’s administrative plan, but will apply after the minimum 120-day initial search term.</w:t>
      </w:r>
    </w:p>
    <w:p w14:paraId="3392E300" w14:textId="77777777" w:rsidR="002554C3" w:rsidRPr="007A36EF" w:rsidRDefault="002554C3" w:rsidP="002554C3">
      <w:pPr>
        <w:pStyle w:val="3aBody"/>
      </w:pPr>
    </w:p>
    <w:p w14:paraId="251B47B3" w14:textId="77777777" w:rsidR="002554C3" w:rsidRPr="007A36EF" w:rsidRDefault="002554C3" w:rsidP="002554C3">
      <w:pPr>
        <w:pStyle w:val="3aBody"/>
      </w:pPr>
      <w:r w:rsidRPr="007A36EF">
        <w:t>See the Applicant, Participant, and Owner Briefing exhibit for briefing materials. See the Issuance and Shopping exhibit for the voucher term and extensions.</w:t>
      </w:r>
      <w:bookmarkStart w:id="18" w:name="_Toc510171716"/>
    </w:p>
    <w:p w14:paraId="229A698F" w14:textId="77777777" w:rsidR="002554C3" w:rsidRPr="007A36EF" w:rsidRDefault="002554C3" w:rsidP="002554C3">
      <w:pPr>
        <w:pStyle w:val="3aBody"/>
      </w:pPr>
    </w:p>
    <w:p w14:paraId="18D04A06" w14:textId="7879AC13" w:rsidR="002554C3" w:rsidRPr="00DF7FAC" w:rsidRDefault="002554C3" w:rsidP="00DF7FAC">
      <w:pPr>
        <w:pStyle w:val="2Level21A"/>
      </w:pPr>
      <w:bookmarkStart w:id="19" w:name="_Toc94544704"/>
      <w:r w:rsidRPr="00DF7FAC">
        <w:lastRenderedPageBreak/>
        <w:t>Initial Inspections</w:t>
      </w:r>
      <w:bookmarkEnd w:id="18"/>
      <w:bookmarkEnd w:id="19"/>
    </w:p>
    <w:p w14:paraId="11E97BCD" w14:textId="77777777" w:rsidR="009021A2" w:rsidRDefault="002554C3" w:rsidP="009021A2">
      <w:pPr>
        <w:pStyle w:val="6PolicyTitle"/>
      </w:pPr>
      <w:r w:rsidRPr="00DF7FAC">
        <w:t>HUD Guidance</w:t>
      </w:r>
    </w:p>
    <w:p w14:paraId="6EE12C35" w14:textId="1A999B5A" w:rsidR="002554C3" w:rsidRPr="007A36EF" w:rsidRDefault="002554C3" w:rsidP="009021A2">
      <w:pPr>
        <w:pStyle w:val="6aPolicyTxt"/>
      </w:pPr>
      <w:r w:rsidRPr="007A36EF">
        <w:t xml:space="preserve">To expedite the leasing process for tenant-based </w:t>
      </w:r>
      <w:r>
        <w:t>SV</w:t>
      </w:r>
      <w:r w:rsidRPr="007A36EF">
        <w:t xml:space="preserve">, PHAs may pre-inspect available units that families may be interested in leasing to maintain a pool of eligible units. If an </w:t>
      </w:r>
      <w:r>
        <w:t>SV</w:t>
      </w:r>
      <w:r w:rsidRPr="007A36EF">
        <w:t xml:space="preserve"> family selects a unit that passed a</w:t>
      </w:r>
      <w:r w:rsidR="00DF7FAC">
        <w:t xml:space="preserve">n </w:t>
      </w:r>
      <w:r w:rsidRPr="007A36EF">
        <w:t xml:space="preserve">inspection (without intervening occupancy) within 45 days of the date of the Request for Tenancy Approval (form HUD–52517), the unit may be approved as long as it meets all other conditions under 24 CFR 982.305. As required by 24 CFR 982.353(e), a PHA is prohibited from directly or indirectly reducing the family’s opportunity to select among all available units. All regulatory requirements pertaining to HQS found at 24 CFR 982.401 apply to </w:t>
      </w:r>
      <w:r>
        <w:t>SV</w:t>
      </w:r>
      <w:r w:rsidRPr="007A36EF">
        <w:t>.</w:t>
      </w:r>
    </w:p>
    <w:p w14:paraId="4F69CD76" w14:textId="77777777" w:rsidR="002554C3" w:rsidRPr="007A36EF" w:rsidRDefault="002554C3" w:rsidP="002554C3">
      <w:pPr>
        <w:pStyle w:val="3aBody"/>
      </w:pPr>
    </w:p>
    <w:p w14:paraId="28FC0A66" w14:textId="7DACDDC0" w:rsidR="002554C3" w:rsidRPr="00DF7FAC" w:rsidRDefault="002554C3" w:rsidP="00DF7FAC">
      <w:pPr>
        <w:pStyle w:val="2Level21A"/>
      </w:pPr>
      <w:bookmarkStart w:id="20" w:name="_Toc510171711"/>
      <w:bookmarkStart w:id="21" w:name="_Toc94544705"/>
      <w:r w:rsidRPr="00DF7FAC">
        <w:t>Initial Lease Term</w:t>
      </w:r>
      <w:bookmarkEnd w:id="20"/>
      <w:bookmarkEnd w:id="21"/>
    </w:p>
    <w:p w14:paraId="04AF27EB" w14:textId="77777777" w:rsidR="00DF7FAC" w:rsidRDefault="002554C3" w:rsidP="00DF7FAC">
      <w:pPr>
        <w:pStyle w:val="6PolicyTitle"/>
      </w:pPr>
      <w:r w:rsidRPr="00DF7FAC">
        <w:t>HUD Guidance</w:t>
      </w:r>
    </w:p>
    <w:p w14:paraId="57E7804E" w14:textId="497410A3" w:rsidR="002554C3" w:rsidRPr="007A36EF" w:rsidRDefault="002554C3" w:rsidP="00DF7FAC">
      <w:pPr>
        <w:pStyle w:val="6aPolicyTxt"/>
      </w:pPr>
      <w:r w:rsidRPr="007A36EF">
        <w:t>Under the HCV program, voucher participants must enter into an initial lease with the owner for one year, unless a shorter term would improve housing opportunities for the tenant and the shorter term is a prevailing market practice. To provide a greater range</w:t>
      </w:r>
      <w:r>
        <w:t xml:space="preserve"> of housing opportunities for S</w:t>
      </w:r>
      <w:r w:rsidRPr="007A36EF">
        <w:t xml:space="preserve">V families, initial leases may be less than 12 months regardless of whether the shorter term is a prevailing market practice.; therefore, both section 8(o)(7)(A) of the USHA of 1937, 42 U.S.C. 1437f(o)(7)(A), and 24 CFR 982.309(a)(2)(ii) are waived. </w:t>
      </w:r>
    </w:p>
    <w:p w14:paraId="6D08C48C" w14:textId="77777777" w:rsidR="008C263C" w:rsidRDefault="008C263C" w:rsidP="008C263C">
      <w:pPr>
        <w:pStyle w:val="6PolicyTitle"/>
        <w:jc w:val="left"/>
      </w:pPr>
    </w:p>
    <w:p w14:paraId="673203A7" w14:textId="21199228" w:rsidR="002554C3" w:rsidRPr="007A36EF" w:rsidRDefault="002554C3" w:rsidP="008C263C">
      <w:pPr>
        <w:pStyle w:val="6PolicyTitle"/>
        <w:jc w:val="left"/>
      </w:pPr>
      <w:r>
        <w:t>SV</w:t>
      </w:r>
      <w:r w:rsidRPr="007A36EF">
        <w:t xml:space="preserve"> families may lease less than 12 months regardless of whether the shorter term is a prevailing market practice.</w:t>
      </w:r>
    </w:p>
    <w:p w14:paraId="04C31D46" w14:textId="77777777" w:rsidR="002554C3" w:rsidRPr="007A36EF" w:rsidRDefault="002554C3" w:rsidP="002554C3"/>
    <w:p w14:paraId="4C46C6B8" w14:textId="351E96FC" w:rsidR="002554C3" w:rsidRPr="00DF7FAC" w:rsidRDefault="002554C3" w:rsidP="00DF7FAC">
      <w:pPr>
        <w:pStyle w:val="2Level21A"/>
      </w:pPr>
      <w:r w:rsidRPr="00DF7FAC">
        <w:t>Exception to Payment Standards</w:t>
      </w:r>
    </w:p>
    <w:p w14:paraId="524254D6" w14:textId="77777777" w:rsidR="002554C3" w:rsidRPr="00DF7FAC" w:rsidRDefault="002554C3" w:rsidP="00DF7FAC">
      <w:pPr>
        <w:pStyle w:val="6PolicyTitle"/>
      </w:pPr>
      <w:r w:rsidRPr="00DF7FAC">
        <w:t>HUD Guidance</w:t>
      </w:r>
    </w:p>
    <w:p w14:paraId="55BD8755" w14:textId="77777777" w:rsidR="002554C3" w:rsidRPr="007A36EF" w:rsidRDefault="002554C3" w:rsidP="002554C3">
      <w:pPr>
        <w:pStyle w:val="6aPolicyTxt"/>
      </w:pPr>
      <w:r w:rsidRPr="007A36EF">
        <w:t xml:space="preserve">The HCV regulations at 24 CFR § 982.505(c)(4) require that if the payment standard amount is increased during the term of the HAP contract, the increased payment standard amount shall be used to calculate the monthly housing assistance payment for the family  beginning at the effective date of the family’s first regular reexamination on or after the effective date of the increase in the payment standard amount. </w:t>
      </w:r>
    </w:p>
    <w:p w14:paraId="62FDAFCD" w14:textId="77777777" w:rsidR="002554C3" w:rsidRPr="007A36EF" w:rsidRDefault="002554C3" w:rsidP="002554C3">
      <w:pPr>
        <w:pStyle w:val="6aPolicyTxt"/>
      </w:pPr>
    </w:p>
    <w:p w14:paraId="394E4934" w14:textId="77777777" w:rsidR="002554C3" w:rsidRPr="007A36EF" w:rsidRDefault="002554C3" w:rsidP="002554C3">
      <w:pPr>
        <w:pStyle w:val="6aPolicyTxt"/>
      </w:pPr>
      <w:r w:rsidRPr="007A36EF">
        <w:t xml:space="preserve">HUD is waiving this requirement and, as an alternative requirement, providing a PHA with the discretion to establish a policy in the PHA administrative plan on when to apply the increased payment standard (e.g., interim reexamination, owner rent increase) after the effective date of the increase in the payment standard amount, provided the increased payment standard is used to calculate </w:t>
      </w:r>
      <w:r w:rsidRPr="007A36EF">
        <w:lastRenderedPageBreak/>
        <w:t xml:space="preserve">the HAP no later than the effective date of the family’s first regular reexamination following the change. </w:t>
      </w:r>
    </w:p>
    <w:p w14:paraId="0B5B21CA" w14:textId="77777777" w:rsidR="002554C3" w:rsidRPr="007A36EF" w:rsidRDefault="002554C3" w:rsidP="002554C3"/>
    <w:p w14:paraId="422C0A50" w14:textId="63DCC532" w:rsidR="002554C3" w:rsidRPr="00DF7FAC" w:rsidRDefault="002554C3" w:rsidP="00DF7FAC">
      <w:pPr>
        <w:pStyle w:val="1Level11"/>
      </w:pPr>
      <w:bookmarkStart w:id="22" w:name="_Toc377120614"/>
      <w:bookmarkStart w:id="23" w:name="_Toc402187979"/>
      <w:bookmarkStart w:id="24" w:name="_Toc536628069"/>
      <w:bookmarkStart w:id="25" w:name="_Toc536628096"/>
      <w:r w:rsidRPr="00DF7FAC">
        <w:t>Archiving</w:t>
      </w:r>
      <w:bookmarkEnd w:id="22"/>
      <w:bookmarkEnd w:id="23"/>
      <w:bookmarkEnd w:id="24"/>
      <w:bookmarkEnd w:id="25"/>
    </w:p>
    <w:p w14:paraId="2E94874A" w14:textId="77777777" w:rsidR="002554C3" w:rsidRPr="007A36EF" w:rsidRDefault="002554C3" w:rsidP="002554C3">
      <w:pPr>
        <w:pStyle w:val="3aBody"/>
      </w:pPr>
      <w:r w:rsidRPr="007A36EF">
        <w:t xml:space="preserve">Staff will follow archiving procedures for HCV when archiving </w:t>
      </w:r>
      <w:r>
        <w:t>SV</w:t>
      </w:r>
      <w:r w:rsidRPr="000B777F">
        <w:t xml:space="preserve"> files</w:t>
      </w:r>
      <w:r w:rsidRPr="007A36EF">
        <w:t>. This includes ineligible and withdrawn applicant and participant files.</w:t>
      </w:r>
    </w:p>
    <w:p w14:paraId="1316EEC3" w14:textId="373871CC" w:rsidR="002554C3" w:rsidRDefault="002554C3" w:rsidP="002554C3">
      <w:pPr>
        <w:rPr>
          <w:b/>
        </w:rPr>
      </w:pPr>
      <w:bookmarkStart w:id="26" w:name="_Toc94544700"/>
    </w:p>
    <w:p w14:paraId="71D27040" w14:textId="6A2C0996" w:rsidR="002554C3" w:rsidRPr="00DF7FAC" w:rsidRDefault="002554C3" w:rsidP="00DF7FAC">
      <w:pPr>
        <w:pStyle w:val="1Level11"/>
      </w:pPr>
      <w:r w:rsidRPr="00DF7FAC">
        <w:lastRenderedPageBreak/>
        <w:t>Services to Be Provided to Eligible SV Families</w:t>
      </w:r>
      <w:bookmarkEnd w:id="26"/>
    </w:p>
    <w:p w14:paraId="3129370B" w14:textId="77777777" w:rsidR="002554C3" w:rsidRPr="00EE4AE0" w:rsidRDefault="002554C3" w:rsidP="002554C3">
      <w:pPr>
        <w:pStyle w:val="3aBody"/>
      </w:pPr>
      <w:r w:rsidRPr="00EE4AE0">
        <w:t xml:space="preserve">The balance of state Continuum of Care (CoC) agrees to establish standards for determining what types of services program participants need to achieve housing stability objectives.  This includes coordinating with partner agencies to provide services as needed to achieve housing stability objectives. Service partnerships vary regionally, although services that can be expected to be offered may include, but are not limited to, Trauma-Informed Care, Physical &amp; Behavioral Health Services, Future Planning, Parenting Classes, Culturally-informed programs, Community Connections, Budgeting, Nutrition, Legal Assistance, and referrals to mainstream benefits. The CoC will coordinate with statewide advocacy organizations and culturally appropriate providers to identify service providers as needed in regions throughout the state.   </w:t>
      </w:r>
    </w:p>
    <w:p w14:paraId="15317B23" w14:textId="77777777" w:rsidR="002554C3" w:rsidRPr="00EE4AE0" w:rsidRDefault="002554C3" w:rsidP="002554C3">
      <w:pPr>
        <w:pStyle w:val="3aBody"/>
      </w:pPr>
    </w:p>
    <w:p w14:paraId="264DB4E6" w14:textId="36789E6D" w:rsidR="002554C3" w:rsidRDefault="002554C3" w:rsidP="002554C3">
      <w:pPr>
        <w:pStyle w:val="3aBody"/>
      </w:pPr>
      <w:r w:rsidRPr="00EE4AE0">
        <w:t>Families are not required to maintain supportive services to be eligible for Stability Vouchers. As funding permits, families may return to a supportive service provider to access eligible services.</w:t>
      </w:r>
    </w:p>
    <w:p w14:paraId="4C629AC2" w14:textId="77777777" w:rsidR="00DF7FAC" w:rsidRPr="00EE4AE0" w:rsidRDefault="00DF7FAC" w:rsidP="002554C3">
      <w:pPr>
        <w:pStyle w:val="3aBody"/>
      </w:pPr>
    </w:p>
    <w:p w14:paraId="0E21A477" w14:textId="77777777" w:rsidR="002554C3" w:rsidRPr="00DF7FAC" w:rsidRDefault="002554C3" w:rsidP="00DF7FAC">
      <w:pPr>
        <w:pStyle w:val="1Level11"/>
      </w:pPr>
      <w:bookmarkStart w:id="27" w:name="_Toc510171713"/>
      <w:bookmarkStart w:id="28" w:name="_Toc94544708"/>
      <w:r w:rsidRPr="00DF7FAC">
        <w:t>8. Mobility and Portability</w:t>
      </w:r>
      <w:bookmarkEnd w:id="27"/>
      <w:bookmarkEnd w:id="28"/>
    </w:p>
    <w:p w14:paraId="46690EE2" w14:textId="037CF523" w:rsidR="002554C3" w:rsidRPr="00DF7FAC" w:rsidRDefault="002554C3" w:rsidP="00DF7FAC">
      <w:pPr>
        <w:pStyle w:val="2Level21A"/>
      </w:pPr>
      <w:r w:rsidRPr="00DF7FAC">
        <w:t>In-State Moves</w:t>
      </w:r>
    </w:p>
    <w:p w14:paraId="476CE0BF" w14:textId="77777777" w:rsidR="002554C3" w:rsidRPr="007A36EF" w:rsidRDefault="002554C3" w:rsidP="002554C3">
      <w:pPr>
        <w:pStyle w:val="3aBody"/>
      </w:pPr>
      <w:r>
        <w:t>SV</w:t>
      </w:r>
      <w:r w:rsidRPr="007A36EF">
        <w:t xml:space="preserve"> families may move their voucher to </w:t>
      </w:r>
      <w:r>
        <w:t>any AHFC voucher jurisdictions</w:t>
      </w:r>
      <w:r w:rsidRPr="007A36EF">
        <w:t xml:space="preserve">. </w:t>
      </w:r>
      <w:r>
        <w:t>SV</w:t>
      </w:r>
      <w:r w:rsidRPr="007A36EF">
        <w:t xml:space="preserve"> families do not have to meet the residency requirement at the time of admission and may request to move at voucher issuance.</w:t>
      </w:r>
    </w:p>
    <w:p w14:paraId="36F6E7C3" w14:textId="77777777" w:rsidR="002554C3" w:rsidRPr="007A36EF" w:rsidRDefault="002554C3" w:rsidP="002554C3">
      <w:pPr>
        <w:pStyle w:val="3aBody"/>
        <w:ind w:left="720"/>
      </w:pPr>
    </w:p>
    <w:p w14:paraId="3925FEA7" w14:textId="3BAB5C8D" w:rsidR="002554C3" w:rsidRPr="00DF7FAC" w:rsidRDefault="002554C3" w:rsidP="00DF7FAC">
      <w:pPr>
        <w:pStyle w:val="2Level21A"/>
      </w:pPr>
      <w:bookmarkStart w:id="29" w:name="_Toc94544710"/>
      <w:r w:rsidRPr="00DF7FAC">
        <w:t xml:space="preserve">Portability </w:t>
      </w:r>
      <w:bookmarkEnd w:id="29"/>
      <w:r w:rsidRPr="00DF7FAC">
        <w:t xml:space="preserve">Billing and Absorption </w:t>
      </w:r>
    </w:p>
    <w:p w14:paraId="01A72C35" w14:textId="77777777" w:rsidR="002554C3" w:rsidRPr="007A36EF" w:rsidRDefault="002554C3" w:rsidP="002554C3">
      <w:r>
        <w:t>SV</w:t>
      </w:r>
      <w:r w:rsidRPr="007A36EF">
        <w:t xml:space="preserve"> families may port their voucher to any PHA administering a voucher program at the time of admission.  A receiving PHA cannot refuse to assist an incoming </w:t>
      </w:r>
      <w:r>
        <w:t>S</w:t>
      </w:r>
      <w:r w:rsidRPr="007A36EF">
        <w:t xml:space="preserve">V family, regardless of whether the PHA does or </w:t>
      </w:r>
      <w:r>
        <w:t>does not currently administer S</w:t>
      </w:r>
      <w:r w:rsidRPr="007A36EF">
        <w:t xml:space="preserve">Vs.  </w:t>
      </w:r>
    </w:p>
    <w:p w14:paraId="05579113" w14:textId="77777777" w:rsidR="002554C3" w:rsidRPr="007A36EF" w:rsidRDefault="002554C3" w:rsidP="002554C3">
      <w:pPr>
        <w:pStyle w:val="3aBody"/>
        <w:ind w:left="360"/>
      </w:pPr>
    </w:p>
    <w:p w14:paraId="0B6532A4" w14:textId="77777777" w:rsidR="002554C3" w:rsidRPr="008C263C" w:rsidRDefault="002554C3" w:rsidP="008C263C">
      <w:pPr>
        <w:pStyle w:val="6PolicyTitle"/>
      </w:pPr>
      <w:r w:rsidRPr="008C263C">
        <w:t>HUD Guidance</w:t>
      </w:r>
    </w:p>
    <w:p w14:paraId="4454670C" w14:textId="77777777" w:rsidR="002554C3" w:rsidRPr="007A36EF" w:rsidRDefault="002554C3" w:rsidP="002554C3">
      <w:pPr>
        <w:pStyle w:val="6aPolicyTxt"/>
      </w:pPr>
      <w:r w:rsidRPr="007A36EF">
        <w:t xml:space="preserve">If the </w:t>
      </w:r>
      <w:r>
        <w:t>S</w:t>
      </w:r>
      <w:r w:rsidRPr="007A36EF">
        <w:t xml:space="preserve">V family moves under portability to another PHA that administers its own </w:t>
      </w:r>
      <w:r>
        <w:t>S</w:t>
      </w:r>
      <w:r w:rsidRPr="007A36EF">
        <w:t>Vs:</w:t>
      </w:r>
    </w:p>
    <w:p w14:paraId="75020B08" w14:textId="77777777" w:rsidR="002554C3" w:rsidRPr="007A36EF" w:rsidRDefault="002554C3" w:rsidP="002554C3">
      <w:pPr>
        <w:pStyle w:val="6aPolicyTxt"/>
        <w:numPr>
          <w:ilvl w:val="0"/>
          <w:numId w:val="39"/>
        </w:numPr>
      </w:pPr>
      <w:r w:rsidRPr="007A36EF">
        <w:t xml:space="preserve">The receiving PHA may only absorb the incoming </w:t>
      </w:r>
      <w:r>
        <w:t>S</w:t>
      </w:r>
      <w:r w:rsidRPr="007A36EF">
        <w:t xml:space="preserve">V family with an </w:t>
      </w:r>
      <w:r>
        <w:t>SV (assuming it has an S</w:t>
      </w:r>
      <w:r w:rsidRPr="007A36EF">
        <w:t>V voucher available to do so).</w:t>
      </w:r>
      <w:r>
        <w:t xml:space="preserve"> If the PHA does not have an SV</w:t>
      </w:r>
      <w:r w:rsidRPr="007A36EF">
        <w:t xml:space="preserve"> available to absorb the family, it must bill the initial PHA. The receiving PHA must allow the </w:t>
      </w:r>
      <w:r>
        <w:t>family to lease the unit with S</w:t>
      </w:r>
      <w:r w:rsidRPr="007A36EF">
        <w:t xml:space="preserve">V assistance and may not absorb the family with a regular HCV when the family leases the unit. </w:t>
      </w:r>
    </w:p>
    <w:p w14:paraId="6A6E35DA" w14:textId="77777777" w:rsidR="002554C3" w:rsidRPr="007A36EF" w:rsidRDefault="002554C3" w:rsidP="002554C3">
      <w:pPr>
        <w:pStyle w:val="6aPolicyTxt"/>
      </w:pPr>
    </w:p>
    <w:p w14:paraId="2114E774" w14:textId="77777777" w:rsidR="002554C3" w:rsidRPr="007A36EF" w:rsidRDefault="002554C3" w:rsidP="002554C3">
      <w:pPr>
        <w:pStyle w:val="6aPolicyTxt"/>
        <w:numPr>
          <w:ilvl w:val="0"/>
          <w:numId w:val="39"/>
        </w:numPr>
      </w:pPr>
      <w:r w:rsidRPr="007A36EF">
        <w:t xml:space="preserve"> Regardless of whether the receiving PHA absorbs or bills th</w:t>
      </w:r>
      <w:r>
        <w:t>e initial PHA for the family’s SV assistance, the S</w:t>
      </w:r>
      <w:r w:rsidRPr="007A36EF">
        <w:t xml:space="preserve">V administration of the voucher is in </w:t>
      </w:r>
      <w:r w:rsidRPr="007A36EF">
        <w:lastRenderedPageBreak/>
        <w:t>accord</w:t>
      </w:r>
      <w:r>
        <w:t>ance with the receiving PHA’s S</w:t>
      </w:r>
      <w:r w:rsidRPr="007A36EF">
        <w:t>V policies, although neighboring PHAs and PHAs in the same metro area or region are strongly encouraged to work collaborativ</w:t>
      </w:r>
      <w:r>
        <w:t>ely with one another to align S</w:t>
      </w:r>
      <w:r w:rsidRPr="007A36EF">
        <w:t>V</w:t>
      </w:r>
      <w:r>
        <w:t xml:space="preserve"> policies and help facilitate S</w:t>
      </w:r>
      <w:r w:rsidRPr="007A36EF">
        <w:t xml:space="preserve">V portability moves between their jurisdictions. </w:t>
      </w:r>
    </w:p>
    <w:p w14:paraId="3A001F43" w14:textId="77777777" w:rsidR="002554C3" w:rsidRPr="007A36EF" w:rsidRDefault="002554C3" w:rsidP="002554C3">
      <w:pPr>
        <w:pStyle w:val="6aPolicyTxt"/>
      </w:pPr>
    </w:p>
    <w:p w14:paraId="31BC2A2D" w14:textId="77777777" w:rsidR="002554C3" w:rsidRPr="007A36EF" w:rsidRDefault="002554C3" w:rsidP="002554C3">
      <w:pPr>
        <w:pStyle w:val="6aPolicyTxt"/>
        <w:numPr>
          <w:ilvl w:val="0"/>
          <w:numId w:val="39"/>
        </w:numPr>
      </w:pPr>
      <w:r>
        <w:t>If the S</w:t>
      </w:r>
      <w:r w:rsidRPr="007A36EF">
        <w:t>V family moves under portability to another PHA tha</w:t>
      </w:r>
      <w:r>
        <w:t>t does not administer its own S</w:t>
      </w:r>
      <w:r w:rsidRPr="007A36EF">
        <w:t>V, the receiving PHA may absorb the family into its regular HCV program or may bill the initial PHA.</w:t>
      </w:r>
    </w:p>
    <w:p w14:paraId="1AAADC36" w14:textId="77777777" w:rsidR="002554C3" w:rsidRPr="007A36EF" w:rsidRDefault="002554C3" w:rsidP="002554C3"/>
    <w:p w14:paraId="27CED19F" w14:textId="77777777" w:rsidR="002554C3" w:rsidRPr="007A36EF" w:rsidRDefault="002554C3" w:rsidP="002554C3">
      <w:pPr>
        <w:pStyle w:val="2Level21A"/>
        <w:numPr>
          <w:ilvl w:val="0"/>
          <w:numId w:val="0"/>
        </w:numPr>
        <w:ind w:left="720" w:hanging="720"/>
        <w:rPr>
          <w:rFonts w:ascii="Book Antiqua" w:hAnsi="Book Antiqua"/>
          <w:b/>
        </w:rPr>
      </w:pPr>
      <w:bookmarkStart w:id="30" w:name="_Toc510171714"/>
      <w:bookmarkStart w:id="31" w:name="_Toc94544711"/>
      <w:r w:rsidRPr="007A36EF">
        <w:rPr>
          <w:rFonts w:ascii="Book Antiqua" w:hAnsi="Book Antiqua"/>
          <w:b/>
        </w:rPr>
        <w:t>8.C</w:t>
      </w:r>
      <w:r w:rsidRPr="007A36EF">
        <w:rPr>
          <w:rFonts w:ascii="Book Antiqua" w:hAnsi="Book Antiqua"/>
          <w:b/>
        </w:rPr>
        <w:tab/>
        <w:t xml:space="preserve">Portability- HAP and Administrative Fees </w:t>
      </w:r>
      <w:bookmarkEnd w:id="30"/>
      <w:bookmarkEnd w:id="31"/>
    </w:p>
    <w:p w14:paraId="444C779C" w14:textId="77777777" w:rsidR="002554C3" w:rsidRPr="008C263C" w:rsidRDefault="002554C3" w:rsidP="008C263C">
      <w:pPr>
        <w:pStyle w:val="6PolicyTitle"/>
      </w:pPr>
      <w:r w:rsidRPr="008C263C">
        <w:t>HUD Guidance</w:t>
      </w:r>
    </w:p>
    <w:p w14:paraId="44957403" w14:textId="77777777" w:rsidR="002554C3" w:rsidRPr="007A36EF" w:rsidRDefault="002554C3" w:rsidP="002554C3">
      <w:pPr>
        <w:pStyle w:val="6aPolicyTxt"/>
      </w:pPr>
      <w:r w:rsidRPr="007A36EF">
        <w:t xml:space="preserve">HAP and ongoing fees: The requirements at 982.355(e) apply to portability billing arrangements on behalf of an </w:t>
      </w:r>
      <w:r>
        <w:t>SV</w:t>
      </w:r>
      <w:r w:rsidRPr="007A36EF">
        <w:t xml:space="preserve"> family: </w:t>
      </w:r>
    </w:p>
    <w:p w14:paraId="349076D9" w14:textId="77777777" w:rsidR="002554C3" w:rsidRPr="007A36EF" w:rsidRDefault="002554C3" w:rsidP="002554C3">
      <w:pPr>
        <w:pStyle w:val="6aPolicyTxt"/>
        <w:numPr>
          <w:ilvl w:val="0"/>
          <w:numId w:val="40"/>
        </w:numPr>
      </w:pPr>
      <w:r w:rsidRPr="007A36EF">
        <w:t xml:space="preserve">The initial PHA must promptly reimburse the receiving PHA for the full amount of the housing assistance payments made by the receiving PHA for the family. </w:t>
      </w:r>
    </w:p>
    <w:p w14:paraId="252C41EB" w14:textId="77777777" w:rsidR="002554C3" w:rsidRPr="007A36EF" w:rsidRDefault="002554C3" w:rsidP="002554C3">
      <w:pPr>
        <w:pStyle w:val="6aPolicyTxt"/>
        <w:numPr>
          <w:ilvl w:val="0"/>
          <w:numId w:val="40"/>
        </w:numPr>
      </w:pPr>
      <w:r w:rsidRPr="007A36EF">
        <w:t xml:space="preserve"> The initial PHA must promptly reimburse the receiving PHA for the lesser of 80 percent of the initial PHA’s </w:t>
      </w:r>
      <w:r>
        <w:t>SV</w:t>
      </w:r>
      <w:r w:rsidRPr="007A36EF">
        <w:t xml:space="preserve"> ongoing administrative fee or 100 percent of the receiving PHA's ongoing administrativ</w:t>
      </w:r>
      <w:r>
        <w:t>e fee (or the receiving PHA’s S</w:t>
      </w:r>
      <w:r w:rsidRPr="007A36EF">
        <w:t xml:space="preserve">V ongoing administrative fee if the </w:t>
      </w:r>
      <w:r>
        <w:t>receiving PHA administers the S</w:t>
      </w:r>
      <w:r w:rsidRPr="007A36EF">
        <w:t xml:space="preserve">V program). If both PHAs agree, the PHAs may negotiate a different amount of reimbursement. </w:t>
      </w:r>
    </w:p>
    <w:p w14:paraId="2DE99B1B" w14:textId="77777777" w:rsidR="002554C3" w:rsidRPr="007A36EF" w:rsidRDefault="002554C3" w:rsidP="002554C3">
      <w:pPr>
        <w:pStyle w:val="1Level11"/>
        <w:numPr>
          <w:ilvl w:val="0"/>
          <w:numId w:val="0"/>
        </w:numPr>
        <w:ind w:left="720" w:hanging="720"/>
        <w:rPr>
          <w:rFonts w:ascii="Book Antiqua" w:hAnsi="Book Antiqua"/>
          <w:b/>
        </w:rPr>
      </w:pPr>
      <w:bookmarkStart w:id="32" w:name="_Toc510171719"/>
      <w:bookmarkStart w:id="33" w:name="_Toc94544718"/>
      <w:r w:rsidRPr="007A36EF">
        <w:rPr>
          <w:rFonts w:ascii="Book Antiqua" w:hAnsi="Book Antiqua"/>
          <w:b/>
        </w:rPr>
        <w:t>Abbreviations</w:t>
      </w:r>
      <w:bookmarkEnd w:id="32"/>
      <w:bookmarkEnd w:id="33"/>
    </w:p>
    <w:p w14:paraId="75F02044" w14:textId="77777777" w:rsidR="002554C3" w:rsidRPr="007A36EF" w:rsidRDefault="002554C3" w:rsidP="002554C3">
      <w:pPr>
        <w:pStyle w:val="3b2BodyNumSpace"/>
      </w:pPr>
      <w:r w:rsidRPr="007A36EF">
        <w:rPr>
          <w:b/>
        </w:rPr>
        <w:t xml:space="preserve">AKCH2 </w:t>
      </w:r>
      <w:r w:rsidRPr="007A36EF">
        <w:t>- Alaska Coalition on Housing and Homelessness</w:t>
      </w:r>
    </w:p>
    <w:p w14:paraId="1812B928" w14:textId="77777777" w:rsidR="002554C3" w:rsidRPr="007A36EF" w:rsidRDefault="002554C3" w:rsidP="002554C3">
      <w:pPr>
        <w:pStyle w:val="3b2BodyNumSpace"/>
      </w:pPr>
      <w:r w:rsidRPr="007A36EF">
        <w:rPr>
          <w:b/>
        </w:rPr>
        <w:t xml:space="preserve">CoC- </w:t>
      </w:r>
      <w:r w:rsidRPr="007A36EF">
        <w:t>Continuum of Care</w:t>
      </w:r>
    </w:p>
    <w:p w14:paraId="2155EF1A" w14:textId="77777777" w:rsidR="002554C3" w:rsidRPr="007A36EF" w:rsidRDefault="002554C3" w:rsidP="002554C3">
      <w:pPr>
        <w:pStyle w:val="3b2BodyNumSpace"/>
      </w:pPr>
      <w:r>
        <w:rPr>
          <w:b/>
        </w:rPr>
        <w:t>EIV</w:t>
      </w:r>
      <w:r w:rsidRPr="004D21D1">
        <w:t>-</w:t>
      </w:r>
      <w:r>
        <w:t xml:space="preserve"> Enterprise Income Verification</w:t>
      </w:r>
    </w:p>
    <w:p w14:paraId="78C27B6E" w14:textId="77777777" w:rsidR="002554C3" w:rsidRPr="007A36EF" w:rsidRDefault="002554C3" w:rsidP="002554C3">
      <w:pPr>
        <w:pStyle w:val="3b2BodyNumSpace"/>
      </w:pPr>
      <w:r w:rsidRPr="007A36EF">
        <w:rPr>
          <w:b/>
        </w:rPr>
        <w:t xml:space="preserve">HUD </w:t>
      </w:r>
      <w:r w:rsidRPr="007A36EF">
        <w:t>– U.S. Department of Housing and Urban Development</w:t>
      </w:r>
    </w:p>
    <w:p w14:paraId="580613A2" w14:textId="77777777" w:rsidR="002554C3" w:rsidRPr="007A36EF" w:rsidRDefault="002554C3" w:rsidP="002554C3">
      <w:pPr>
        <w:pStyle w:val="3b2BodyNumSpace"/>
      </w:pPr>
      <w:r w:rsidRPr="007A36EF">
        <w:rPr>
          <w:b/>
        </w:rPr>
        <w:t>MOU</w:t>
      </w:r>
      <w:r w:rsidRPr="007A36EF">
        <w:t>- Memorandum of Understanding</w:t>
      </w:r>
    </w:p>
    <w:p w14:paraId="7C2C249C" w14:textId="77777777" w:rsidR="002554C3" w:rsidRDefault="002554C3" w:rsidP="002554C3">
      <w:pPr>
        <w:pStyle w:val="3b2BodyNumSpace"/>
      </w:pPr>
      <w:r w:rsidRPr="007A36EF">
        <w:rPr>
          <w:b/>
        </w:rPr>
        <w:t>PIH</w:t>
      </w:r>
      <w:r w:rsidRPr="007A36EF">
        <w:t>- Public and Indian Housing</w:t>
      </w:r>
    </w:p>
    <w:p w14:paraId="4485710E" w14:textId="77777777" w:rsidR="002554C3" w:rsidRPr="007A36EF" w:rsidRDefault="002554C3" w:rsidP="002554C3">
      <w:pPr>
        <w:pStyle w:val="3b2BodyNumSpace"/>
      </w:pPr>
      <w:r>
        <w:rPr>
          <w:b/>
        </w:rPr>
        <w:t>SV</w:t>
      </w:r>
      <w:r w:rsidRPr="004D21D1">
        <w:t>-</w:t>
      </w:r>
      <w:r>
        <w:t xml:space="preserve"> Stability Voucher</w:t>
      </w:r>
    </w:p>
    <w:p w14:paraId="4E4EEDA4" w14:textId="77777777" w:rsidR="002554C3" w:rsidRPr="007A36EF" w:rsidRDefault="002554C3" w:rsidP="002554C3">
      <w:pPr>
        <w:pStyle w:val="3aBody"/>
      </w:pPr>
    </w:p>
    <w:p w14:paraId="44FF9853" w14:textId="77777777" w:rsidR="002554C3" w:rsidRPr="007A36EF" w:rsidRDefault="002554C3" w:rsidP="002554C3">
      <w:pPr>
        <w:pStyle w:val="3aBody"/>
      </w:pPr>
    </w:p>
    <w:p w14:paraId="1C8389A3" w14:textId="77777777" w:rsidR="002554C3" w:rsidRPr="007A36EF" w:rsidRDefault="002554C3" w:rsidP="002554C3">
      <w:pPr>
        <w:rPr>
          <w:b/>
        </w:rPr>
      </w:pPr>
      <w:r w:rsidRPr="007A36EF">
        <w:rPr>
          <w:b/>
        </w:rPr>
        <w:t>Numbered Memo</w:t>
      </w:r>
    </w:p>
    <w:p w14:paraId="7D43F1C0" w14:textId="74EACB5E" w:rsidR="002554C3" w:rsidRPr="007A6445" w:rsidRDefault="00D43498" w:rsidP="002554C3">
      <w:pPr>
        <w:pStyle w:val="3aBody"/>
      </w:pPr>
      <w:r>
        <w:t xml:space="preserve">26-08 </w:t>
      </w:r>
      <w:r w:rsidRPr="00D43498">
        <w:t>Recission of Mandatory Waivers in the Emergency Housing Voucher Program Exhibit 11-11 and Stability Voucher Program Exhibit 11-13</w:t>
      </w:r>
    </w:p>
    <w:p w14:paraId="024EA06B" w14:textId="1D6CE6B0" w:rsidR="00DF7FAC" w:rsidRPr="00DF7FAC" w:rsidRDefault="00DF7FAC" w:rsidP="00DF7FAC"/>
    <w:p w14:paraId="75DAC228" w14:textId="77777777" w:rsidR="00DF7FAC" w:rsidRPr="00DF7FAC" w:rsidRDefault="00DF7FAC" w:rsidP="00DF7FAC"/>
    <w:sectPr w:rsidR="00DF7FAC" w:rsidRPr="00DF7FAC" w:rsidSect="00A61B8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70" w:left="1440" w:header="1440" w:footer="8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7AEE8" w14:textId="77777777" w:rsidR="00F229ED" w:rsidRDefault="00F229ED" w:rsidP="00BF5FF9">
      <w:r>
        <w:separator/>
      </w:r>
    </w:p>
    <w:p w14:paraId="1D9DFC0F" w14:textId="77777777" w:rsidR="00F229ED" w:rsidRDefault="00F229ED" w:rsidP="00BF5FF9"/>
  </w:endnote>
  <w:endnote w:type="continuationSeparator" w:id="0">
    <w:p w14:paraId="131673F1" w14:textId="77777777" w:rsidR="00F229ED" w:rsidRDefault="00F229ED" w:rsidP="00BF5FF9">
      <w:r>
        <w:continuationSeparator/>
      </w:r>
    </w:p>
    <w:p w14:paraId="5F6A9447" w14:textId="77777777" w:rsidR="00F229ED" w:rsidRDefault="00F229ED" w:rsidP="00BF5F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altName w:val="Franklin Gothic"/>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A1B7" w14:textId="77777777" w:rsidR="00F37F2A" w:rsidRDefault="00F37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890"/>
      <w:gridCol w:w="3775"/>
    </w:tblGrid>
    <w:tr w:rsidR="009021A2" w:rsidRPr="00A61B87" w14:paraId="343DE9E4" w14:textId="77777777" w:rsidTr="00455B1C">
      <w:trPr>
        <w:trHeight w:val="438"/>
      </w:trPr>
      <w:tc>
        <w:tcPr>
          <w:tcW w:w="3775" w:type="dxa"/>
        </w:tcPr>
        <w:p w14:paraId="3ED38ADF" w14:textId="517A9F30" w:rsidR="009021A2" w:rsidRPr="00A61B87" w:rsidRDefault="009021A2" w:rsidP="009021A2">
          <w:pPr>
            <w:pStyle w:val="Footer"/>
            <w:tabs>
              <w:tab w:val="clear" w:pos="9360"/>
              <w:tab w:val="left" w:pos="3198"/>
              <w:tab w:val="right" w:pos="9180"/>
            </w:tabs>
            <w:ind w:right="270"/>
            <w:rPr>
              <w:color w:val="0063A8"/>
              <w:sz w:val="16"/>
              <w:szCs w:val="16"/>
            </w:rPr>
          </w:pPr>
          <w:r w:rsidRPr="004A5B05">
            <w:rPr>
              <w:color w:val="0063A8"/>
              <w:sz w:val="16"/>
              <w:szCs w:val="16"/>
            </w:rPr>
            <w:t>Public Housing Department</w:t>
          </w:r>
          <w:r w:rsidRPr="004A5B05">
            <w:rPr>
              <w:color w:val="0063A8"/>
              <w:sz w:val="16"/>
              <w:szCs w:val="16"/>
            </w:rPr>
            <w:br/>
            <w:t>Housing Choice Voucher Administrative Plan</w:t>
          </w:r>
        </w:p>
      </w:tc>
      <w:tc>
        <w:tcPr>
          <w:tcW w:w="1890" w:type="dxa"/>
        </w:tcPr>
        <w:p w14:paraId="5483734A" w14:textId="332FB489" w:rsidR="009021A2" w:rsidRPr="00A61B87" w:rsidRDefault="009021A2" w:rsidP="009021A2">
          <w:pPr>
            <w:pStyle w:val="Footer"/>
            <w:tabs>
              <w:tab w:val="clear" w:pos="9360"/>
              <w:tab w:val="right" w:pos="9180"/>
            </w:tabs>
            <w:ind w:right="270"/>
            <w:jc w:val="center"/>
            <w:rPr>
              <w:color w:val="0063A8"/>
              <w:sz w:val="16"/>
              <w:szCs w:val="16"/>
            </w:rPr>
          </w:pPr>
          <w:r w:rsidRPr="004A5B05">
            <w:rPr>
              <w:color w:val="0063A8"/>
              <w:sz w:val="16"/>
              <w:szCs w:val="16"/>
            </w:rPr>
            <w:t xml:space="preserve">Page </w:t>
          </w:r>
          <w:r w:rsidRPr="004A5B05">
            <w:rPr>
              <w:color w:val="0063A8"/>
              <w:sz w:val="16"/>
              <w:szCs w:val="16"/>
            </w:rPr>
            <w:fldChar w:fldCharType="begin"/>
          </w:r>
          <w:r w:rsidRPr="004A5B05">
            <w:rPr>
              <w:color w:val="0063A8"/>
              <w:sz w:val="16"/>
              <w:szCs w:val="16"/>
            </w:rPr>
            <w:instrText xml:space="preserve"> PAGE   \* MERGEFORMAT </w:instrText>
          </w:r>
          <w:r w:rsidRPr="004A5B05">
            <w:rPr>
              <w:color w:val="0063A8"/>
              <w:sz w:val="16"/>
              <w:szCs w:val="16"/>
            </w:rPr>
            <w:fldChar w:fldCharType="separate"/>
          </w:r>
          <w:r w:rsidRPr="004A5B05">
            <w:rPr>
              <w:noProof/>
              <w:color w:val="0063A8"/>
              <w:sz w:val="16"/>
              <w:szCs w:val="16"/>
            </w:rPr>
            <w:t>1</w:t>
          </w:r>
          <w:r w:rsidRPr="004A5B05">
            <w:rPr>
              <w:noProof/>
              <w:color w:val="0063A8"/>
              <w:sz w:val="16"/>
              <w:szCs w:val="16"/>
            </w:rPr>
            <w:fldChar w:fldCharType="end"/>
          </w:r>
          <w:r w:rsidRPr="004A5B05">
            <w:rPr>
              <w:color w:val="0063A8"/>
              <w:sz w:val="16"/>
              <w:szCs w:val="16"/>
            </w:rPr>
            <w:t xml:space="preserve"> of </w:t>
          </w:r>
          <w:r w:rsidR="00F37F2A">
            <w:rPr>
              <w:color w:val="0063A8"/>
              <w:sz w:val="16"/>
              <w:szCs w:val="16"/>
            </w:rPr>
            <w:t>88</w:t>
          </w:r>
          <w:r w:rsidRPr="004A5B05">
            <w:rPr>
              <w:color w:val="0063A8"/>
              <w:sz w:val="16"/>
              <w:szCs w:val="16"/>
            </w:rPr>
            <w:br/>
          </w:r>
          <w:r>
            <w:rPr>
              <w:color w:val="0063A8"/>
              <w:sz w:val="16"/>
              <w:szCs w:val="16"/>
            </w:rPr>
            <w:t>Exhibit 11-13</w:t>
          </w:r>
        </w:p>
      </w:tc>
      <w:tc>
        <w:tcPr>
          <w:tcW w:w="3775" w:type="dxa"/>
        </w:tcPr>
        <w:p w14:paraId="51EAB566" w14:textId="7F450346" w:rsidR="009021A2" w:rsidRPr="00A61B87" w:rsidRDefault="00FD2632" w:rsidP="009021A2">
          <w:pPr>
            <w:pStyle w:val="Footer"/>
            <w:tabs>
              <w:tab w:val="clear" w:pos="9360"/>
              <w:tab w:val="right" w:pos="9180"/>
            </w:tabs>
            <w:ind w:right="-118"/>
            <w:jc w:val="right"/>
            <w:rPr>
              <w:color w:val="0063A8"/>
              <w:sz w:val="16"/>
              <w:szCs w:val="16"/>
            </w:rPr>
          </w:pPr>
          <w:r>
            <w:rPr>
              <w:color w:val="0063A8"/>
              <w:sz w:val="16"/>
              <w:szCs w:val="16"/>
            </w:rPr>
            <w:t>04/01/2026</w:t>
          </w:r>
          <w:r w:rsidR="009021A2" w:rsidRPr="004A5B05">
            <w:rPr>
              <w:color w:val="0063A8"/>
              <w:sz w:val="16"/>
              <w:szCs w:val="16"/>
            </w:rPr>
            <w:br/>
          </w:r>
          <w:r w:rsidR="009021A2">
            <w:rPr>
              <w:color w:val="0063A8"/>
              <w:sz w:val="16"/>
              <w:szCs w:val="16"/>
            </w:rPr>
            <w:t>Stability Voucher</w:t>
          </w:r>
        </w:p>
      </w:tc>
    </w:tr>
  </w:tbl>
  <w:p w14:paraId="1EA43404" w14:textId="316AFB6C" w:rsidR="009021A2" w:rsidRDefault="009021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2165"/>
      <w:gridCol w:w="3500"/>
    </w:tblGrid>
    <w:tr w:rsidR="009021A2" w:rsidRPr="004A5B05" w14:paraId="21FC91B0" w14:textId="77777777" w:rsidTr="00500AA4">
      <w:trPr>
        <w:trHeight w:val="438"/>
      </w:trPr>
      <w:tc>
        <w:tcPr>
          <w:tcW w:w="3775" w:type="dxa"/>
        </w:tcPr>
        <w:p w14:paraId="31F5581D" w14:textId="77777777" w:rsidR="009021A2" w:rsidRPr="004A5B05" w:rsidRDefault="009021A2" w:rsidP="009021A2">
          <w:pPr>
            <w:pStyle w:val="Footer"/>
            <w:tabs>
              <w:tab w:val="clear" w:pos="9360"/>
              <w:tab w:val="left" w:pos="3198"/>
              <w:tab w:val="right" w:pos="9180"/>
            </w:tabs>
            <w:ind w:right="270"/>
            <w:rPr>
              <w:color w:val="0063A8"/>
              <w:sz w:val="16"/>
              <w:szCs w:val="16"/>
            </w:rPr>
          </w:pPr>
          <w:r w:rsidRPr="004A5B05">
            <w:rPr>
              <w:color w:val="0063A8"/>
              <w:sz w:val="16"/>
              <w:szCs w:val="16"/>
            </w:rPr>
            <w:t>Public Housing Department</w:t>
          </w:r>
          <w:r w:rsidRPr="004A5B05">
            <w:rPr>
              <w:color w:val="0063A8"/>
              <w:sz w:val="16"/>
              <w:szCs w:val="16"/>
            </w:rPr>
            <w:br/>
            <w:t>Housing Choice Voucher Administrative Plan</w:t>
          </w:r>
        </w:p>
      </w:tc>
      <w:tc>
        <w:tcPr>
          <w:tcW w:w="2165" w:type="dxa"/>
        </w:tcPr>
        <w:p w14:paraId="2C422548" w14:textId="1CCF5CB2" w:rsidR="009021A2" w:rsidRPr="004A5B05" w:rsidRDefault="009021A2" w:rsidP="009021A2">
          <w:pPr>
            <w:pStyle w:val="Footer"/>
            <w:tabs>
              <w:tab w:val="clear" w:pos="9360"/>
              <w:tab w:val="right" w:pos="9180"/>
            </w:tabs>
            <w:ind w:right="270"/>
            <w:jc w:val="center"/>
            <w:rPr>
              <w:color w:val="0063A8"/>
              <w:sz w:val="16"/>
              <w:szCs w:val="16"/>
            </w:rPr>
          </w:pPr>
          <w:r w:rsidRPr="004A5B05">
            <w:rPr>
              <w:color w:val="0063A8"/>
              <w:sz w:val="16"/>
              <w:szCs w:val="16"/>
            </w:rPr>
            <w:t xml:space="preserve">Page 1 of </w:t>
          </w:r>
          <w:r w:rsidR="00F37F2A">
            <w:rPr>
              <w:color w:val="0063A8"/>
              <w:sz w:val="16"/>
              <w:szCs w:val="16"/>
            </w:rPr>
            <w:t>8</w:t>
          </w:r>
          <w:r w:rsidRPr="004A5B05">
            <w:rPr>
              <w:color w:val="0063A8"/>
              <w:sz w:val="16"/>
              <w:szCs w:val="16"/>
            </w:rPr>
            <w:br/>
          </w:r>
          <w:r>
            <w:rPr>
              <w:color w:val="0063A8"/>
              <w:sz w:val="16"/>
              <w:szCs w:val="16"/>
            </w:rPr>
            <w:t>Exhibit 11-13</w:t>
          </w:r>
        </w:p>
      </w:tc>
      <w:tc>
        <w:tcPr>
          <w:tcW w:w="3500" w:type="dxa"/>
        </w:tcPr>
        <w:p w14:paraId="009CFF58" w14:textId="20690428" w:rsidR="009021A2" w:rsidRPr="004A5B05" w:rsidRDefault="00FD2632" w:rsidP="009021A2">
          <w:pPr>
            <w:pStyle w:val="Footer"/>
            <w:tabs>
              <w:tab w:val="clear" w:pos="9360"/>
              <w:tab w:val="right" w:pos="9180"/>
            </w:tabs>
            <w:ind w:right="-118"/>
            <w:jc w:val="right"/>
            <w:rPr>
              <w:color w:val="0063A8"/>
              <w:sz w:val="16"/>
              <w:szCs w:val="16"/>
            </w:rPr>
          </w:pPr>
          <w:r>
            <w:rPr>
              <w:color w:val="0063A8"/>
              <w:sz w:val="16"/>
              <w:szCs w:val="16"/>
            </w:rPr>
            <w:t>04/01/2026</w:t>
          </w:r>
          <w:r w:rsidR="009021A2" w:rsidRPr="004A5B05">
            <w:rPr>
              <w:color w:val="0063A8"/>
              <w:sz w:val="16"/>
              <w:szCs w:val="16"/>
            </w:rPr>
            <w:br/>
          </w:r>
          <w:r w:rsidR="009021A2">
            <w:rPr>
              <w:color w:val="0063A8"/>
              <w:sz w:val="16"/>
              <w:szCs w:val="16"/>
            </w:rPr>
            <w:t>Stability Voucher</w:t>
          </w:r>
          <w:r w:rsidR="009021A2" w:rsidRPr="004A5B05">
            <w:rPr>
              <w:color w:val="0063A8"/>
              <w:sz w:val="16"/>
              <w:szCs w:val="16"/>
            </w:rPr>
            <w:t>)</w:t>
          </w:r>
        </w:p>
      </w:tc>
    </w:tr>
  </w:tbl>
  <w:p w14:paraId="6F1454BF" w14:textId="7BC33484" w:rsidR="009C0799" w:rsidRPr="009C0799" w:rsidRDefault="009C0799" w:rsidP="00A61B87">
    <w:pPr>
      <w:pStyle w:val="Footer"/>
      <w:tabs>
        <w:tab w:val="clear" w:pos="9360"/>
        <w:tab w:val="right" w:pos="9180"/>
      </w:tabs>
      <w:ind w:right="270"/>
      <w:rPr>
        <w:color w:val="0063A8"/>
        <w:sz w:val="16"/>
        <w:szCs w:val="16"/>
      </w:rPr>
    </w:pPr>
  </w:p>
  <w:p w14:paraId="31A8E4E5" w14:textId="77777777" w:rsidR="009C0799" w:rsidRDefault="009C0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58FE9" w14:textId="77777777" w:rsidR="00F229ED" w:rsidRDefault="00F229ED" w:rsidP="00BF5FF9">
      <w:r>
        <w:separator/>
      </w:r>
    </w:p>
    <w:p w14:paraId="660EAC3E" w14:textId="77777777" w:rsidR="00F229ED" w:rsidRDefault="00F229ED" w:rsidP="00BF5FF9"/>
  </w:footnote>
  <w:footnote w:type="continuationSeparator" w:id="0">
    <w:p w14:paraId="091B1DA3" w14:textId="77777777" w:rsidR="00F229ED" w:rsidRDefault="00F229ED" w:rsidP="00BF5FF9">
      <w:r>
        <w:continuationSeparator/>
      </w:r>
    </w:p>
    <w:p w14:paraId="704CB29B" w14:textId="77777777" w:rsidR="00F229ED" w:rsidRDefault="00F229ED" w:rsidP="00BF5F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E8B6" w14:textId="77777777" w:rsidR="00F37F2A" w:rsidRDefault="00F37F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77E6" w14:textId="27E6F7BE" w:rsidR="00F5529E" w:rsidRDefault="00D12F99" w:rsidP="00BF5FF9">
    <w:pPr>
      <w:pStyle w:val="Header"/>
    </w:pPr>
    <w:r>
      <w:rPr>
        <w:noProof/>
      </w:rPr>
      <w:drawing>
        <wp:anchor distT="0" distB="0" distL="114300" distR="114300" simplePos="0" relativeHeight="251659264" behindDoc="1" locked="0" layoutInCell="1" allowOverlap="1" wp14:anchorId="03FC22D5" wp14:editId="45AD4C67">
          <wp:simplePos x="0" y="0"/>
          <wp:positionH relativeFrom="page">
            <wp:align>right</wp:align>
          </wp:positionH>
          <wp:positionV relativeFrom="paragraph">
            <wp:posOffset>-927735</wp:posOffset>
          </wp:positionV>
          <wp:extent cx="7772399" cy="10058398"/>
          <wp:effectExtent l="0" t="0" r="635" b="63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030386" name="Picture 1903030386"/>
                  <pic:cNvPicPr/>
                </pic:nvPicPr>
                <pic:blipFill>
                  <a:blip r:embed="rId1">
                    <a:extLst>
                      <a:ext uri="{28A0092B-C50C-407E-A947-70E740481C1C}">
                        <a14:useLocalDpi xmlns:a14="http://schemas.microsoft.com/office/drawing/2010/main" val="0"/>
                      </a:ext>
                    </a:extLst>
                  </a:blip>
                  <a:stretch>
                    <a:fillRect/>
                  </a:stretch>
                </pic:blipFill>
                <pic:spPr>
                  <a:xfrm>
                    <a:off x="0" y="0"/>
                    <a:ext cx="7772399" cy="1005839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AA59" w14:textId="5001B66B" w:rsidR="00D12F99" w:rsidRDefault="00D12F99" w:rsidP="00BF5FF9">
    <w:pPr>
      <w:pStyle w:val="Header"/>
    </w:pPr>
    <w:r>
      <w:rPr>
        <w:noProof/>
      </w:rPr>
      <w:drawing>
        <wp:anchor distT="0" distB="0" distL="114300" distR="114300" simplePos="0" relativeHeight="251658240" behindDoc="1" locked="0" layoutInCell="1" allowOverlap="1" wp14:anchorId="402C611B" wp14:editId="01962DBE">
          <wp:simplePos x="0" y="0"/>
          <wp:positionH relativeFrom="page">
            <wp:align>right</wp:align>
          </wp:positionH>
          <wp:positionV relativeFrom="paragraph">
            <wp:posOffset>-918845</wp:posOffset>
          </wp:positionV>
          <wp:extent cx="7762238" cy="10045249"/>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383321" name="Picture 871383321"/>
                  <pic:cNvPicPr/>
                </pic:nvPicPr>
                <pic:blipFill>
                  <a:blip r:embed="rId1">
                    <a:extLst>
                      <a:ext uri="{28A0092B-C50C-407E-A947-70E740481C1C}">
                        <a14:useLocalDpi xmlns:a14="http://schemas.microsoft.com/office/drawing/2010/main" val="0"/>
                      </a:ext>
                    </a:extLst>
                  </a:blip>
                  <a:stretch>
                    <a:fillRect/>
                  </a:stretch>
                </pic:blipFill>
                <pic:spPr>
                  <a:xfrm>
                    <a:off x="0" y="0"/>
                    <a:ext cx="7762238" cy="100452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49A"/>
    <w:multiLevelType w:val="hybridMultilevel"/>
    <w:tmpl w:val="01CA2072"/>
    <w:lvl w:ilvl="0" w:tplc="958A3C90">
      <w:start w:val="1"/>
      <w:numFmt w:val="bullet"/>
      <w:lvlText w:val="•"/>
      <w:lvlJc w:val="left"/>
      <w:pPr>
        <w:ind w:left="720" w:hanging="360"/>
      </w:pPr>
      <w:rPr>
        <w:rFonts w:ascii="Franklin Gothic Book" w:hAnsi="Franklin Gothic 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6215E"/>
    <w:multiLevelType w:val="hybridMultilevel"/>
    <w:tmpl w:val="A58EB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A3880"/>
    <w:multiLevelType w:val="hybridMultilevel"/>
    <w:tmpl w:val="AEF20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05654"/>
    <w:multiLevelType w:val="hybridMultilevel"/>
    <w:tmpl w:val="F6C440D0"/>
    <w:lvl w:ilvl="0" w:tplc="D6F073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1E3C04"/>
    <w:multiLevelType w:val="hybridMultilevel"/>
    <w:tmpl w:val="65C017A8"/>
    <w:lvl w:ilvl="0" w:tplc="958A3C90">
      <w:start w:val="1"/>
      <w:numFmt w:val="bullet"/>
      <w:lvlText w:val="•"/>
      <w:lvlJc w:val="left"/>
      <w:pPr>
        <w:ind w:left="720" w:hanging="360"/>
      </w:pPr>
      <w:rPr>
        <w:rFonts w:ascii="Franklin Gothic Book" w:hAnsi="Franklin Gothic 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12489"/>
    <w:multiLevelType w:val="hybridMultilevel"/>
    <w:tmpl w:val="0980A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24E8C"/>
    <w:multiLevelType w:val="hybridMultilevel"/>
    <w:tmpl w:val="59B4B4D4"/>
    <w:lvl w:ilvl="0" w:tplc="DDFA3B0C">
      <w:start w:val="1"/>
      <w:numFmt w:val="decimal"/>
      <w:pStyle w:val="3b2BodyNumSpace"/>
      <w:lvlText w:val="%1."/>
      <w:lvlJc w:val="left"/>
      <w:pPr>
        <w:ind w:left="720" w:hanging="360"/>
      </w:pPr>
      <w:rPr>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8198D"/>
    <w:multiLevelType w:val="hybridMultilevel"/>
    <w:tmpl w:val="C40CAFE6"/>
    <w:lvl w:ilvl="0" w:tplc="8488E8B0">
      <w:start w:val="1"/>
      <w:numFmt w:val="bullet"/>
      <w:pStyle w:val="3a2BodyBulletDot5"/>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845D97"/>
    <w:multiLevelType w:val="hybridMultilevel"/>
    <w:tmpl w:val="470E4FC4"/>
    <w:lvl w:ilvl="0" w:tplc="6C881A3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FB78FD"/>
    <w:multiLevelType w:val="hybridMultilevel"/>
    <w:tmpl w:val="D756B932"/>
    <w:lvl w:ilvl="0" w:tplc="53BE27BA">
      <w:start w:val="1"/>
      <w:numFmt w:val="decimal"/>
      <w:pStyle w:val="6b1PolicyTxt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0005D1"/>
    <w:multiLevelType w:val="hybridMultilevel"/>
    <w:tmpl w:val="8A3827C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5934F27"/>
    <w:multiLevelType w:val="hybridMultilevel"/>
    <w:tmpl w:val="8F52BB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BB4978"/>
    <w:multiLevelType w:val="hybridMultilevel"/>
    <w:tmpl w:val="575E0424"/>
    <w:lvl w:ilvl="0" w:tplc="5142A56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8325FA"/>
    <w:multiLevelType w:val="hybridMultilevel"/>
    <w:tmpl w:val="EE1C4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067818"/>
    <w:multiLevelType w:val="hybridMultilevel"/>
    <w:tmpl w:val="E57451E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D7467ED"/>
    <w:multiLevelType w:val="hybridMultilevel"/>
    <w:tmpl w:val="9D80D3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186EC5"/>
    <w:multiLevelType w:val="multilevel"/>
    <w:tmpl w:val="B7060352"/>
    <w:lvl w:ilvl="0">
      <w:start w:val="1"/>
      <w:numFmt w:val="none"/>
      <w:suff w:val="nothing"/>
      <w:lvlText w:val="Chapter X"/>
      <w:lvlJc w:val="left"/>
      <w:pPr>
        <w:ind w:left="0" w:firstLine="0"/>
      </w:pPr>
      <w:rPr>
        <w:rFonts w:hint="default"/>
      </w:rPr>
    </w:lvl>
    <w:lvl w:ilvl="1">
      <w:start w:val="1"/>
      <w:numFmt w:val="decimal"/>
      <w:pStyle w:val="1Level11"/>
      <w:lvlText w:val="%1%2."/>
      <w:lvlJc w:val="left"/>
      <w:pPr>
        <w:ind w:left="720" w:hanging="720"/>
      </w:pPr>
      <w:rPr>
        <w:rFonts w:hint="default"/>
      </w:rPr>
    </w:lvl>
    <w:lvl w:ilvl="2">
      <w:start w:val="1"/>
      <w:numFmt w:val="upperLetter"/>
      <w:pStyle w:val="2Level21A"/>
      <w:lvlText w:val="%1%2.%3"/>
      <w:lvlJc w:val="left"/>
      <w:pPr>
        <w:ind w:left="907" w:hanging="907"/>
      </w:pPr>
      <w:rPr>
        <w:rFonts w:hint="default"/>
      </w:rPr>
    </w:lvl>
    <w:lvl w:ilvl="3">
      <w:start w:val="1"/>
      <w:numFmt w:val="decimal"/>
      <w:pStyle w:val="3Level31A1"/>
      <w:lvlText w:val="%2.%3.%4."/>
      <w:lvlJc w:val="left"/>
      <w:pPr>
        <w:ind w:left="180" w:firstLine="0"/>
      </w:pPr>
      <w:rPr>
        <w:rFonts w:hint="default"/>
      </w:rPr>
    </w:lvl>
    <w:lvl w:ilvl="4">
      <w:start w:val="1"/>
      <w:numFmt w:val="lowerLetter"/>
      <w:pStyle w:val="4Level4a"/>
      <w:lvlText w:val="%5)"/>
      <w:lvlJc w:val="left"/>
      <w:pPr>
        <w:ind w:left="1440" w:hanging="360"/>
      </w:pPr>
      <w:rPr>
        <w:rFonts w:hint="default"/>
      </w:rPr>
    </w:lvl>
    <w:lvl w:ilvl="5">
      <w:start w:val="1"/>
      <w:numFmt w:val="decimal"/>
      <w:pStyle w:val="5Level51"/>
      <w:lvlText w:val="%6)"/>
      <w:lvlJc w:val="left"/>
      <w:pPr>
        <w:ind w:left="1800" w:hanging="36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C105E2E"/>
    <w:multiLevelType w:val="hybridMultilevel"/>
    <w:tmpl w:val="E4D0A2D0"/>
    <w:lvl w:ilvl="0" w:tplc="9EF2197E">
      <w:start w:val="1"/>
      <w:numFmt w:val="decimal"/>
      <w:pStyle w:val="3b1Body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0071F8"/>
    <w:multiLevelType w:val="hybridMultilevel"/>
    <w:tmpl w:val="FB56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174CA7"/>
    <w:multiLevelType w:val="hybridMultilevel"/>
    <w:tmpl w:val="73D29CCE"/>
    <w:lvl w:ilvl="0" w:tplc="A35A61E0">
      <w:start w:val="1"/>
      <w:numFmt w:val="bullet"/>
      <w:pStyle w:val="3a1BodyBulletArrow25"/>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F12984"/>
    <w:multiLevelType w:val="hybridMultilevel"/>
    <w:tmpl w:val="4E5A520C"/>
    <w:lvl w:ilvl="0" w:tplc="958A3C90">
      <w:start w:val="1"/>
      <w:numFmt w:val="bullet"/>
      <w:lvlText w:val="•"/>
      <w:lvlJc w:val="left"/>
      <w:pPr>
        <w:ind w:left="450" w:hanging="360"/>
      </w:pPr>
      <w:rPr>
        <w:rFonts w:ascii="Franklin Gothic Book" w:hAnsi="Franklin Gothic 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4"/>
  </w:num>
  <w:num w:numId="4">
    <w:abstractNumId w:val="19"/>
  </w:num>
  <w:num w:numId="5">
    <w:abstractNumId w:val="17"/>
  </w:num>
  <w:num w:numId="6">
    <w:abstractNumId w:val="16"/>
  </w:num>
  <w:num w:numId="7">
    <w:abstractNumId w:val="15"/>
  </w:num>
  <w:num w:numId="8">
    <w:abstractNumId w:val="11"/>
  </w:num>
  <w:num w:numId="9">
    <w:abstractNumId w:val="9"/>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1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num>
  <w:num w:numId="16">
    <w:abstractNumId w:val="6"/>
  </w:num>
  <w:num w:numId="17">
    <w:abstractNumId w:val="20"/>
  </w:num>
  <w:num w:numId="18">
    <w:abstractNumId w:val="4"/>
  </w:num>
  <w:num w:numId="19">
    <w:abstractNumId w:val="0"/>
  </w:num>
  <w:num w:numId="20">
    <w:abstractNumId w:val="1"/>
  </w:num>
  <w:num w:numId="21">
    <w:abstractNumId w:val="6"/>
    <w:lvlOverride w:ilvl="0">
      <w:startOverride w:val="1"/>
    </w:lvlOverride>
  </w:num>
  <w:num w:numId="22">
    <w:abstractNumId w:val="6"/>
    <w:lvlOverride w:ilvl="0">
      <w:startOverride w:val="1"/>
    </w:lvlOverride>
  </w:num>
  <w:num w:numId="23">
    <w:abstractNumId w:val="17"/>
    <w:lvlOverride w:ilvl="0">
      <w:startOverride w:val="1"/>
    </w:lvlOverride>
  </w:num>
  <w:num w:numId="24">
    <w:abstractNumId w:val="7"/>
  </w:num>
  <w:num w:numId="25">
    <w:abstractNumId w:val="9"/>
    <w:lvlOverride w:ilvl="0">
      <w:startOverride w:val="1"/>
    </w:lvlOverride>
  </w:num>
  <w:num w:numId="26">
    <w:abstractNumId w:val="9"/>
    <w:lvlOverride w:ilvl="0">
      <w:startOverride w:val="1"/>
    </w:lvlOverride>
  </w:num>
  <w:num w:numId="27">
    <w:abstractNumId w:val="9"/>
    <w:lvlOverride w:ilvl="0">
      <w:startOverride w:val="1"/>
    </w:lvlOverride>
  </w:num>
  <w:num w:numId="28">
    <w:abstractNumId w:val="9"/>
    <w:lvlOverride w:ilvl="0">
      <w:startOverride w:val="1"/>
    </w:lvlOverride>
  </w:num>
  <w:num w:numId="29">
    <w:abstractNumId w:val="9"/>
    <w:lvlOverride w:ilvl="0">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num>
  <w:num w:numId="33">
    <w:abstractNumId w:val="6"/>
    <w:lvlOverride w:ilvl="0">
      <w:startOverride w:val="1"/>
    </w:lvlOverride>
  </w:num>
  <w:num w:numId="34">
    <w:abstractNumId w:val="6"/>
    <w:lvlOverride w:ilvl="0">
      <w:startOverride w:val="1"/>
    </w:lvlOverride>
  </w:num>
  <w:num w:numId="35">
    <w:abstractNumId w:val="6"/>
    <w:lvlOverride w:ilvl="0">
      <w:startOverride w:val="1"/>
    </w:lvlOverride>
  </w:num>
  <w:num w:numId="36">
    <w:abstractNumId w:val="6"/>
    <w:lvlOverride w:ilvl="0">
      <w:startOverride w:val="1"/>
    </w:lvlOverride>
  </w:num>
  <w:num w:numId="37">
    <w:abstractNumId w:val="6"/>
    <w:lvlOverride w:ilvl="0">
      <w:startOverride w:val="1"/>
    </w:lvlOverride>
  </w:num>
  <w:num w:numId="38">
    <w:abstractNumId w:val="8"/>
  </w:num>
  <w:num w:numId="39">
    <w:abstractNumId w:val="5"/>
  </w:num>
  <w:num w:numId="40">
    <w:abstractNumId w:val="13"/>
  </w:num>
  <w:num w:numId="41">
    <w:abstractNumId w:val="3"/>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documentProtection w:edit="readOnly" w:enforcement="1" w:cryptProviderType="rsaAES" w:cryptAlgorithmClass="hash" w:cryptAlgorithmType="typeAny" w:cryptAlgorithmSid="14" w:cryptSpinCount="100000" w:hash="OwzQcF+50hPN7HPvuiREwdNHQsGjk8kBfsj3mD9eY1Q3o616JJ8AQvMiSdOtjGediKID5IMlF37wQb1qswS9nw==" w:salt="G0DGlaypiTlYf/67PM5pDg=="/>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830"/>
    <w:rsid w:val="000476DE"/>
    <w:rsid w:val="000656D7"/>
    <w:rsid w:val="00085552"/>
    <w:rsid w:val="00183F7D"/>
    <w:rsid w:val="002554C3"/>
    <w:rsid w:val="00263401"/>
    <w:rsid w:val="00292B2A"/>
    <w:rsid w:val="002C03D8"/>
    <w:rsid w:val="002C6E1B"/>
    <w:rsid w:val="003100A9"/>
    <w:rsid w:val="0035325E"/>
    <w:rsid w:val="00384A96"/>
    <w:rsid w:val="003A58F0"/>
    <w:rsid w:val="003B4AF6"/>
    <w:rsid w:val="003C4DA9"/>
    <w:rsid w:val="00483265"/>
    <w:rsid w:val="004904BE"/>
    <w:rsid w:val="004B672B"/>
    <w:rsid w:val="005149C7"/>
    <w:rsid w:val="005500CD"/>
    <w:rsid w:val="00561830"/>
    <w:rsid w:val="00562735"/>
    <w:rsid w:val="005A6F0E"/>
    <w:rsid w:val="005E6644"/>
    <w:rsid w:val="0060217F"/>
    <w:rsid w:val="00624C69"/>
    <w:rsid w:val="0066766D"/>
    <w:rsid w:val="006B0BE5"/>
    <w:rsid w:val="006D1FB4"/>
    <w:rsid w:val="006D7277"/>
    <w:rsid w:val="006E1BC8"/>
    <w:rsid w:val="0071078D"/>
    <w:rsid w:val="0071720A"/>
    <w:rsid w:val="007250FD"/>
    <w:rsid w:val="00733DF1"/>
    <w:rsid w:val="00747E78"/>
    <w:rsid w:val="007530E7"/>
    <w:rsid w:val="007673F5"/>
    <w:rsid w:val="00770207"/>
    <w:rsid w:val="007C3FC5"/>
    <w:rsid w:val="00802264"/>
    <w:rsid w:val="0088518C"/>
    <w:rsid w:val="008C263C"/>
    <w:rsid w:val="008C7B80"/>
    <w:rsid w:val="009021A2"/>
    <w:rsid w:val="00903DC3"/>
    <w:rsid w:val="009448F9"/>
    <w:rsid w:val="00974446"/>
    <w:rsid w:val="00995516"/>
    <w:rsid w:val="009C0799"/>
    <w:rsid w:val="009D455E"/>
    <w:rsid w:val="009D79A3"/>
    <w:rsid w:val="009F69E4"/>
    <w:rsid w:val="00A61B87"/>
    <w:rsid w:val="00AA2EAA"/>
    <w:rsid w:val="00AF2770"/>
    <w:rsid w:val="00B318F4"/>
    <w:rsid w:val="00B45054"/>
    <w:rsid w:val="00B5739F"/>
    <w:rsid w:val="00BB59AA"/>
    <w:rsid w:val="00BF5FF9"/>
    <w:rsid w:val="00C13857"/>
    <w:rsid w:val="00C41336"/>
    <w:rsid w:val="00C44DEC"/>
    <w:rsid w:val="00C9672C"/>
    <w:rsid w:val="00CA02B7"/>
    <w:rsid w:val="00CF05C9"/>
    <w:rsid w:val="00CF664C"/>
    <w:rsid w:val="00D12F99"/>
    <w:rsid w:val="00D1447B"/>
    <w:rsid w:val="00D43498"/>
    <w:rsid w:val="00D73F24"/>
    <w:rsid w:val="00DE02B3"/>
    <w:rsid w:val="00DF7FAC"/>
    <w:rsid w:val="00E02D3A"/>
    <w:rsid w:val="00E05FC1"/>
    <w:rsid w:val="00E97143"/>
    <w:rsid w:val="00EC356F"/>
    <w:rsid w:val="00EE5F3F"/>
    <w:rsid w:val="00F00540"/>
    <w:rsid w:val="00F0679D"/>
    <w:rsid w:val="00F200CC"/>
    <w:rsid w:val="00F229ED"/>
    <w:rsid w:val="00F303D5"/>
    <w:rsid w:val="00F37F2A"/>
    <w:rsid w:val="00F5529E"/>
    <w:rsid w:val="00FD2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4D98707"/>
  <w15:chartTrackingRefBased/>
  <w15:docId w15:val="{BDDD9581-BD3E-427B-A5FF-36B1E342F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1"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lsdException w:name="heading 5" w:locked="0" w:semiHidden="1" w:uiPriority="9" w:unhideWhenUsed="1"/>
    <w:lsdException w:name="heading 6" w:locked="0" w:semiHidden="1" w:uiPriority="9" w:unhideWhenUsed="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2"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2"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1" w:unhideWhenUsed="1" w:qFormat="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iPriority="2"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qFormat/>
    <w:rsid w:val="00263401"/>
    <w:pPr>
      <w:spacing w:after="0" w:line="240" w:lineRule="auto"/>
    </w:pPr>
    <w:rPr>
      <w:rFonts w:ascii="Book Antiqua" w:hAnsi="Book Antiqua" w:cs="Times New Roman"/>
      <w:color w:val="000000" w:themeColor="text1"/>
      <w:sz w:val="24"/>
      <w:szCs w:val="24"/>
    </w:rPr>
  </w:style>
  <w:style w:type="paragraph" w:styleId="Heading1">
    <w:name w:val="heading 1"/>
    <w:aliases w:val="Headline"/>
    <w:basedOn w:val="Normal"/>
    <w:next w:val="Normal"/>
    <w:link w:val="Heading1Char"/>
    <w:uiPriority w:val="9"/>
    <w:qFormat/>
    <w:rsid w:val="00995516"/>
    <w:pPr>
      <w:outlineLvl w:val="0"/>
    </w:pPr>
    <w:rPr>
      <w:rFonts w:ascii="Rockwell" w:hAnsi="Rockwell"/>
      <w:b/>
      <w:bCs/>
      <w:color w:val="0063A8"/>
      <w:sz w:val="48"/>
      <w:szCs w:val="48"/>
    </w:rPr>
  </w:style>
  <w:style w:type="paragraph" w:styleId="Heading2">
    <w:name w:val="heading 2"/>
    <w:aliases w:val="Sub Headline 1"/>
    <w:basedOn w:val="Normal"/>
    <w:next w:val="Normal"/>
    <w:link w:val="Heading2Char"/>
    <w:uiPriority w:val="9"/>
    <w:unhideWhenUsed/>
    <w:qFormat/>
    <w:rsid w:val="00747E78"/>
    <w:pPr>
      <w:outlineLvl w:val="1"/>
    </w:pPr>
    <w:rPr>
      <w:rFonts w:ascii="Rockwell" w:hAnsi="Rockwell"/>
      <w:color w:val="0063A8"/>
      <w:sz w:val="32"/>
      <w:szCs w:val="36"/>
    </w:rPr>
  </w:style>
  <w:style w:type="paragraph" w:styleId="Heading3">
    <w:name w:val="heading 3"/>
    <w:aliases w:val="Sub Headline 2"/>
    <w:basedOn w:val="Heading2"/>
    <w:next w:val="Normal"/>
    <w:link w:val="Heading3Char"/>
    <w:uiPriority w:val="9"/>
    <w:unhideWhenUsed/>
    <w:qFormat/>
    <w:rsid w:val="00747E78"/>
    <w:pPr>
      <w:outlineLvl w:val="2"/>
    </w:pPr>
    <w:rPr>
      <w:rFonts w:ascii="Arial" w:hAnsi="Arial"/>
      <w:b/>
      <w:bCs/>
      <w:caps/>
      <w:sz w:val="22"/>
      <w:szCs w:val="24"/>
    </w:rPr>
  </w:style>
  <w:style w:type="paragraph" w:styleId="Heading4">
    <w:name w:val="heading 4"/>
    <w:basedOn w:val="Normal"/>
    <w:next w:val="Normal"/>
    <w:link w:val="Heading4Char"/>
    <w:uiPriority w:val="9"/>
    <w:unhideWhenUsed/>
    <w:rsid w:val="009F69E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rsid w:val="000476D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F99"/>
    <w:pPr>
      <w:tabs>
        <w:tab w:val="center" w:pos="4680"/>
        <w:tab w:val="right" w:pos="9360"/>
      </w:tabs>
    </w:pPr>
  </w:style>
  <w:style w:type="character" w:customStyle="1" w:styleId="HeaderChar">
    <w:name w:val="Header Char"/>
    <w:basedOn w:val="DefaultParagraphFont"/>
    <w:link w:val="Header"/>
    <w:uiPriority w:val="99"/>
    <w:rsid w:val="00D12F99"/>
  </w:style>
  <w:style w:type="paragraph" w:styleId="Footer">
    <w:name w:val="footer"/>
    <w:basedOn w:val="Normal"/>
    <w:link w:val="FooterChar"/>
    <w:uiPriority w:val="99"/>
    <w:unhideWhenUsed/>
    <w:rsid w:val="00D12F99"/>
    <w:pPr>
      <w:tabs>
        <w:tab w:val="center" w:pos="4680"/>
        <w:tab w:val="right" w:pos="9360"/>
      </w:tabs>
    </w:pPr>
  </w:style>
  <w:style w:type="character" w:customStyle="1" w:styleId="FooterChar">
    <w:name w:val="Footer Char"/>
    <w:basedOn w:val="DefaultParagraphFont"/>
    <w:link w:val="Footer"/>
    <w:uiPriority w:val="99"/>
    <w:rsid w:val="00D12F99"/>
  </w:style>
  <w:style w:type="character" w:customStyle="1" w:styleId="Heading1Char">
    <w:name w:val="Heading 1 Char"/>
    <w:aliases w:val="Headline Char"/>
    <w:basedOn w:val="DefaultParagraphFont"/>
    <w:link w:val="Heading1"/>
    <w:uiPriority w:val="9"/>
    <w:rsid w:val="00995516"/>
    <w:rPr>
      <w:rFonts w:ascii="Rockwell" w:hAnsi="Rockwell" w:cs="Arial"/>
      <w:b/>
      <w:bCs/>
      <w:color w:val="0063A8"/>
      <w:sz w:val="48"/>
      <w:szCs w:val="48"/>
    </w:rPr>
  </w:style>
  <w:style w:type="character" w:customStyle="1" w:styleId="Heading2Char">
    <w:name w:val="Heading 2 Char"/>
    <w:aliases w:val="Sub Headline 1 Char"/>
    <w:basedOn w:val="DefaultParagraphFont"/>
    <w:link w:val="Heading2"/>
    <w:uiPriority w:val="9"/>
    <w:rsid w:val="00747E78"/>
    <w:rPr>
      <w:rFonts w:ascii="Rockwell" w:hAnsi="Rockwell" w:cs="Arial"/>
      <w:color w:val="0063A8"/>
      <w:sz w:val="32"/>
      <w:szCs w:val="36"/>
    </w:rPr>
  </w:style>
  <w:style w:type="character" w:customStyle="1" w:styleId="Heading3Char">
    <w:name w:val="Heading 3 Char"/>
    <w:aliases w:val="Sub Headline 2 Char"/>
    <w:basedOn w:val="DefaultParagraphFont"/>
    <w:link w:val="Heading3"/>
    <w:uiPriority w:val="9"/>
    <w:rsid w:val="00747E78"/>
    <w:rPr>
      <w:rFonts w:ascii="Arial" w:hAnsi="Arial" w:cs="Arial"/>
      <w:b/>
      <w:bCs/>
      <w:caps/>
      <w:color w:val="0063A8"/>
      <w:szCs w:val="24"/>
    </w:rPr>
  </w:style>
  <w:style w:type="paragraph" w:styleId="ListParagraph">
    <w:name w:val="List Paragraph"/>
    <w:basedOn w:val="Normal"/>
    <w:uiPriority w:val="1"/>
    <w:qFormat/>
    <w:rsid w:val="009F69E4"/>
    <w:pPr>
      <w:ind w:left="720"/>
      <w:contextualSpacing/>
    </w:pPr>
  </w:style>
  <w:style w:type="character" w:customStyle="1" w:styleId="Heading4Char">
    <w:name w:val="Heading 4 Char"/>
    <w:basedOn w:val="DefaultParagraphFont"/>
    <w:link w:val="Heading4"/>
    <w:uiPriority w:val="9"/>
    <w:rsid w:val="009F69E4"/>
    <w:rPr>
      <w:rFonts w:asciiTheme="majorHAnsi" w:eastAsiaTheme="majorEastAsia" w:hAnsiTheme="majorHAnsi" w:cstheme="majorBidi"/>
      <w:i/>
      <w:iCs/>
      <w:color w:val="2F5496" w:themeColor="accent1" w:themeShade="BF"/>
    </w:rPr>
  </w:style>
  <w:style w:type="paragraph" w:customStyle="1" w:styleId="PageNumbers">
    <w:name w:val="Page Numbers"/>
    <w:basedOn w:val="Footer"/>
    <w:link w:val="PageNumbersChar"/>
    <w:qFormat/>
    <w:rsid w:val="000476DE"/>
    <w:rPr>
      <w:rFonts w:ascii="Rockwell" w:hAnsi="Rockwell"/>
      <w:b/>
      <w:bCs/>
      <w:color w:val="0063A8"/>
    </w:rPr>
  </w:style>
  <w:style w:type="character" w:customStyle="1" w:styleId="PageNumbersChar">
    <w:name w:val="Page Numbers Char"/>
    <w:basedOn w:val="FooterChar"/>
    <w:link w:val="PageNumbers"/>
    <w:rsid w:val="000476DE"/>
    <w:rPr>
      <w:rFonts w:ascii="Rockwell" w:hAnsi="Rockwell" w:cs="Arial"/>
      <w:b/>
      <w:bCs/>
      <w:color w:val="0063A8"/>
    </w:rPr>
  </w:style>
  <w:style w:type="character" w:customStyle="1" w:styleId="Heading5Char">
    <w:name w:val="Heading 5 Char"/>
    <w:basedOn w:val="DefaultParagraphFont"/>
    <w:link w:val="Heading5"/>
    <w:uiPriority w:val="9"/>
    <w:rsid w:val="000476DE"/>
    <w:rPr>
      <w:rFonts w:asciiTheme="majorHAnsi" w:eastAsiaTheme="majorEastAsia" w:hAnsiTheme="majorHAnsi" w:cstheme="majorBidi"/>
      <w:color w:val="2F5496" w:themeColor="accent1" w:themeShade="BF"/>
    </w:rPr>
  </w:style>
  <w:style w:type="paragraph" w:styleId="Subtitle">
    <w:name w:val="Subtitle"/>
    <w:basedOn w:val="Normal"/>
    <w:next w:val="Normal"/>
    <w:link w:val="SubtitleChar"/>
    <w:uiPriority w:val="11"/>
    <w:rsid w:val="000476D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476DE"/>
    <w:rPr>
      <w:rFonts w:eastAsiaTheme="minorEastAsia"/>
      <w:color w:val="5A5A5A" w:themeColor="text1" w:themeTint="A5"/>
      <w:spacing w:val="15"/>
    </w:rPr>
  </w:style>
  <w:style w:type="paragraph" w:styleId="NoSpacing">
    <w:name w:val="No Spacing"/>
    <w:link w:val="NoSpacingChar"/>
    <w:uiPriority w:val="1"/>
    <w:qFormat/>
    <w:rsid w:val="00747E78"/>
    <w:pPr>
      <w:spacing w:after="0" w:line="240" w:lineRule="auto"/>
    </w:pPr>
    <w:rPr>
      <w:rFonts w:eastAsiaTheme="minorEastAsia"/>
    </w:rPr>
  </w:style>
  <w:style w:type="character" w:customStyle="1" w:styleId="NoSpacingChar">
    <w:name w:val="No Spacing Char"/>
    <w:basedOn w:val="DefaultParagraphFont"/>
    <w:link w:val="NoSpacing"/>
    <w:uiPriority w:val="1"/>
    <w:rsid w:val="00747E78"/>
    <w:rPr>
      <w:rFonts w:eastAsiaTheme="minorEastAsia"/>
    </w:rPr>
  </w:style>
  <w:style w:type="paragraph" w:customStyle="1" w:styleId="0Head">
    <w:name w:val="0_Head"/>
    <w:basedOn w:val="Normal"/>
    <w:next w:val="Normal"/>
    <w:qFormat/>
    <w:rsid w:val="002C6E1B"/>
    <w:pPr>
      <w:keepNext/>
      <w:jc w:val="center"/>
    </w:pPr>
    <w:rPr>
      <w:rFonts w:ascii="Franklin Gothic Demi" w:hAnsi="Franklin Gothic Demi"/>
      <w:sz w:val="36"/>
      <w:szCs w:val="36"/>
    </w:rPr>
  </w:style>
  <w:style w:type="paragraph" w:customStyle="1" w:styleId="3aBody">
    <w:name w:val="3a_Body"/>
    <w:basedOn w:val="Normal"/>
    <w:qFormat/>
    <w:rsid w:val="002C6E1B"/>
    <w:rPr>
      <w:rFonts w:eastAsia="Calibri"/>
    </w:rPr>
  </w:style>
  <w:style w:type="paragraph" w:customStyle="1" w:styleId="1Level11">
    <w:name w:val="1_Level1(1)"/>
    <w:basedOn w:val="3aBody"/>
    <w:next w:val="3aBody"/>
    <w:qFormat/>
    <w:rsid w:val="002C6E1B"/>
    <w:pPr>
      <w:keepNext/>
      <w:numPr>
        <w:ilvl w:val="1"/>
        <w:numId w:val="6"/>
      </w:numPr>
      <w:spacing w:before="240" w:after="60"/>
    </w:pPr>
    <w:rPr>
      <w:rFonts w:ascii="Franklin Gothic Demi" w:hAnsi="Franklin Gothic Demi"/>
      <w:sz w:val="28"/>
    </w:rPr>
  </w:style>
  <w:style w:type="paragraph" w:customStyle="1" w:styleId="2Level21A">
    <w:name w:val="2_Level2(1.A)"/>
    <w:basedOn w:val="3aBody"/>
    <w:next w:val="3aBody"/>
    <w:qFormat/>
    <w:rsid w:val="002C6E1B"/>
    <w:pPr>
      <w:keepNext/>
      <w:numPr>
        <w:ilvl w:val="2"/>
        <w:numId w:val="6"/>
      </w:numPr>
      <w:tabs>
        <w:tab w:val="left" w:pos="720"/>
      </w:tabs>
      <w:spacing w:before="120"/>
    </w:pPr>
    <w:rPr>
      <w:rFonts w:ascii="Franklin Gothic Demi" w:hAnsi="Franklin Gothic Demi"/>
    </w:rPr>
  </w:style>
  <w:style w:type="paragraph" w:customStyle="1" w:styleId="3Level31A1">
    <w:name w:val="3_Level3(1.A.1)"/>
    <w:basedOn w:val="3aBody"/>
    <w:next w:val="3aBody"/>
    <w:qFormat/>
    <w:rsid w:val="002C6E1B"/>
    <w:pPr>
      <w:keepNext/>
      <w:numPr>
        <w:ilvl w:val="3"/>
        <w:numId w:val="6"/>
      </w:numPr>
      <w:tabs>
        <w:tab w:val="left" w:pos="1080"/>
      </w:tabs>
      <w:ind w:left="0"/>
    </w:pPr>
    <w:rPr>
      <w:rFonts w:ascii="Franklin Gothic Demi" w:hAnsi="Franklin Gothic Demi"/>
    </w:rPr>
  </w:style>
  <w:style w:type="paragraph" w:customStyle="1" w:styleId="3a1BodyBulletArrow25">
    <w:name w:val="3a1_BodyBulletArrow(.25)"/>
    <w:basedOn w:val="3aBody"/>
    <w:qFormat/>
    <w:rsid w:val="002C6E1B"/>
    <w:pPr>
      <w:numPr>
        <w:numId w:val="4"/>
      </w:numPr>
    </w:pPr>
    <w:rPr>
      <w:rFonts w:cs="Book Antiqua"/>
    </w:rPr>
  </w:style>
  <w:style w:type="paragraph" w:customStyle="1" w:styleId="3b1BodyNum">
    <w:name w:val="3b1_BodyNum"/>
    <w:basedOn w:val="3aBody"/>
    <w:qFormat/>
    <w:rsid w:val="002C6E1B"/>
    <w:pPr>
      <w:numPr>
        <w:numId w:val="5"/>
      </w:numPr>
    </w:pPr>
  </w:style>
  <w:style w:type="paragraph" w:customStyle="1" w:styleId="4Level4a">
    <w:name w:val="4_Level4(a)"/>
    <w:basedOn w:val="3aBody"/>
    <w:qFormat/>
    <w:rsid w:val="002C6E1B"/>
    <w:pPr>
      <w:numPr>
        <w:ilvl w:val="4"/>
        <w:numId w:val="6"/>
      </w:numPr>
    </w:pPr>
  </w:style>
  <w:style w:type="paragraph" w:customStyle="1" w:styleId="5Level51">
    <w:name w:val="5_Level5[ 1) ]"/>
    <w:basedOn w:val="3aBody"/>
    <w:qFormat/>
    <w:rsid w:val="002C6E1B"/>
    <w:pPr>
      <w:numPr>
        <w:ilvl w:val="5"/>
        <w:numId w:val="6"/>
      </w:numPr>
    </w:pPr>
  </w:style>
  <w:style w:type="paragraph" w:customStyle="1" w:styleId="6PolicyTitle">
    <w:name w:val="6_PolicyTitle"/>
    <w:basedOn w:val="3aBody"/>
    <w:next w:val="6aPolicyTxt"/>
    <w:qFormat/>
    <w:rsid w:val="002C6E1B"/>
    <w:pPr>
      <w:keepNext/>
      <w:pBdr>
        <w:top w:val="single" w:sz="12" w:space="1" w:color="000000" w:themeColor="text1"/>
        <w:left w:val="single" w:sz="12" w:space="4" w:color="000000" w:themeColor="text1"/>
        <w:bottom w:val="single" w:sz="12" w:space="1" w:color="000000" w:themeColor="text1"/>
        <w:right w:val="single" w:sz="12" w:space="4" w:color="000000" w:themeColor="text1"/>
      </w:pBdr>
      <w:ind w:left="360" w:right="360"/>
      <w:jc w:val="center"/>
    </w:pPr>
    <w:rPr>
      <w:rFonts w:ascii="Franklin Gothic Demi" w:eastAsiaTheme="minorHAnsi" w:hAnsi="Franklin Gothic Demi"/>
    </w:rPr>
  </w:style>
  <w:style w:type="paragraph" w:customStyle="1" w:styleId="6aPolicyTxt">
    <w:name w:val="6a_PolicyTxt"/>
    <w:basedOn w:val="3aBody"/>
    <w:qFormat/>
    <w:rsid w:val="002C6E1B"/>
    <w:pPr>
      <w:pBdr>
        <w:top w:val="single" w:sz="12" w:space="1" w:color="000000" w:themeColor="text1"/>
        <w:left w:val="single" w:sz="12" w:space="4" w:color="000000" w:themeColor="text1"/>
        <w:bottom w:val="single" w:sz="12" w:space="1" w:color="000000" w:themeColor="text1"/>
        <w:right w:val="single" w:sz="12" w:space="4" w:color="000000" w:themeColor="text1"/>
      </w:pBdr>
      <w:ind w:left="360" w:right="360"/>
    </w:pPr>
  </w:style>
  <w:style w:type="paragraph" w:customStyle="1" w:styleId="MOA0Body">
    <w:name w:val="MOA0Body"/>
    <w:basedOn w:val="Normal"/>
    <w:qFormat/>
    <w:rsid w:val="002C6E1B"/>
    <w:rPr>
      <w:rFonts w:ascii="Franklin Gothic Book" w:eastAsia="Cambria" w:hAnsi="Franklin Gothic Book"/>
      <w:color w:val="000000"/>
    </w:rPr>
  </w:style>
  <w:style w:type="character" w:styleId="Hyperlink">
    <w:name w:val="Hyperlink"/>
    <w:basedOn w:val="DefaultParagraphFont"/>
    <w:uiPriority w:val="2"/>
    <w:unhideWhenUsed/>
    <w:rsid w:val="002C6E1B"/>
    <w:rPr>
      <w:color w:val="0563C1" w:themeColor="hyperlink"/>
      <w:u w:val="single"/>
    </w:rPr>
  </w:style>
  <w:style w:type="paragraph" w:styleId="FootnoteText">
    <w:name w:val="footnote text"/>
    <w:basedOn w:val="Normal"/>
    <w:link w:val="FootnoteTextChar"/>
    <w:uiPriority w:val="2"/>
    <w:unhideWhenUsed/>
    <w:rsid w:val="002C6E1B"/>
    <w:rPr>
      <w:sz w:val="20"/>
      <w:szCs w:val="20"/>
    </w:rPr>
  </w:style>
  <w:style w:type="character" w:customStyle="1" w:styleId="FootnoteTextChar">
    <w:name w:val="Footnote Text Char"/>
    <w:basedOn w:val="DefaultParagraphFont"/>
    <w:link w:val="FootnoteText"/>
    <w:uiPriority w:val="2"/>
    <w:rsid w:val="002C6E1B"/>
    <w:rPr>
      <w:rFonts w:ascii="Book Antiqua" w:hAnsi="Book Antiqua" w:cs="Times New Roman"/>
      <w:color w:val="000000" w:themeColor="text1"/>
      <w:sz w:val="20"/>
      <w:szCs w:val="20"/>
    </w:rPr>
  </w:style>
  <w:style w:type="character" w:styleId="FootnoteReference">
    <w:name w:val="footnote reference"/>
    <w:basedOn w:val="DefaultParagraphFont"/>
    <w:uiPriority w:val="2"/>
    <w:unhideWhenUsed/>
    <w:rsid w:val="002C6E1B"/>
    <w:rPr>
      <w:vertAlign w:val="superscript"/>
    </w:rPr>
  </w:style>
  <w:style w:type="table" w:styleId="TableGrid">
    <w:name w:val="Table Grid"/>
    <w:basedOn w:val="TableNormal"/>
    <w:uiPriority w:val="59"/>
    <w:locked/>
    <w:rsid w:val="00A61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33DF1"/>
    <w:rPr>
      <w:color w:val="605E5C"/>
      <w:shd w:val="clear" w:color="auto" w:fill="E1DFDD"/>
    </w:rPr>
  </w:style>
  <w:style w:type="paragraph" w:customStyle="1" w:styleId="0aName">
    <w:name w:val="0a_Name"/>
    <w:basedOn w:val="0Head"/>
    <w:next w:val="3aBody"/>
    <w:qFormat/>
    <w:rsid w:val="00263401"/>
    <w:pPr>
      <w:tabs>
        <w:tab w:val="center" w:pos="5040"/>
        <w:tab w:val="right" w:pos="9360"/>
      </w:tabs>
    </w:pPr>
    <w:rPr>
      <w:sz w:val="28"/>
      <w:szCs w:val="32"/>
    </w:rPr>
  </w:style>
  <w:style w:type="paragraph" w:customStyle="1" w:styleId="6b1PolicyTxtNum">
    <w:name w:val="6b1_PolicyTxtNum"/>
    <w:basedOn w:val="6aPolicyTxt"/>
    <w:qFormat/>
    <w:rsid w:val="00263401"/>
    <w:pPr>
      <w:numPr>
        <w:numId w:val="9"/>
      </w:numPr>
      <w:tabs>
        <w:tab w:val="left" w:pos="720"/>
        <w:tab w:val="left" w:pos="1080"/>
        <w:tab w:val="left" w:pos="1440"/>
      </w:tabs>
    </w:pPr>
  </w:style>
  <w:style w:type="paragraph" w:customStyle="1" w:styleId="6b2PolicyTxtBullet">
    <w:name w:val="6b2_PolicyTxtBullet"/>
    <w:basedOn w:val="6aPolicyTxt"/>
    <w:qFormat/>
    <w:rsid w:val="00263401"/>
    <w:pPr>
      <w:tabs>
        <w:tab w:val="left" w:pos="720"/>
        <w:tab w:val="left" w:pos="1080"/>
        <w:tab w:val="left" w:pos="1440"/>
      </w:tabs>
      <w:ind w:left="1080" w:hanging="720"/>
    </w:pPr>
  </w:style>
  <w:style w:type="paragraph" w:customStyle="1" w:styleId="3aBodyBlankLine">
    <w:name w:val="3a_Body_BlankLine"/>
    <w:basedOn w:val="3aBody"/>
    <w:next w:val="3aBody"/>
    <w:rsid w:val="00263401"/>
    <w:pPr>
      <w:suppressLineNumbers/>
    </w:pPr>
  </w:style>
  <w:style w:type="character" w:styleId="FollowedHyperlink">
    <w:name w:val="FollowedHyperlink"/>
    <w:basedOn w:val="DefaultParagraphFont"/>
    <w:uiPriority w:val="99"/>
    <w:semiHidden/>
    <w:unhideWhenUsed/>
    <w:rsid w:val="00C9672C"/>
    <w:rPr>
      <w:color w:val="954F72" w:themeColor="followedHyperlink"/>
      <w:u w:val="single"/>
    </w:rPr>
  </w:style>
  <w:style w:type="paragraph" w:customStyle="1" w:styleId="3b2BodyNumSpace">
    <w:name w:val="3b2_BodyNumSpace"/>
    <w:basedOn w:val="3aBody"/>
    <w:qFormat/>
    <w:rsid w:val="00085552"/>
    <w:pPr>
      <w:numPr>
        <w:numId w:val="16"/>
      </w:numPr>
      <w:spacing w:before="120"/>
    </w:pPr>
  </w:style>
  <w:style w:type="paragraph" w:customStyle="1" w:styleId="Style1">
    <w:name w:val="Style1"/>
    <w:basedOn w:val="FootnoteText"/>
    <w:uiPriority w:val="1"/>
    <w:rsid w:val="002C03D8"/>
    <w:pPr>
      <w:spacing w:before="60"/>
      <w:ind w:left="360" w:hanging="360"/>
    </w:pPr>
    <w:rPr>
      <w:sz w:val="22"/>
    </w:rPr>
  </w:style>
  <w:style w:type="paragraph" w:customStyle="1" w:styleId="3a2BodyBulletDot5">
    <w:name w:val="3a2_BodyBulletDot(.5)"/>
    <w:basedOn w:val="3aBody"/>
    <w:qFormat/>
    <w:rsid w:val="00F200CC"/>
    <w:pPr>
      <w:numPr>
        <w:numId w:val="24"/>
      </w:numPr>
    </w:pPr>
  </w:style>
  <w:style w:type="paragraph" w:styleId="BodyText">
    <w:name w:val="Body Text"/>
    <w:basedOn w:val="Normal"/>
    <w:link w:val="BodyTextChar"/>
    <w:uiPriority w:val="1"/>
    <w:qFormat/>
    <w:rsid w:val="002554C3"/>
    <w:pPr>
      <w:widowControl w:val="0"/>
      <w:autoSpaceDE w:val="0"/>
      <w:autoSpaceDN w:val="0"/>
      <w:adjustRightInd w:val="0"/>
    </w:pPr>
    <w:rPr>
      <w:rFonts w:ascii="Franklin Gothic Book" w:eastAsiaTheme="minorEastAsia" w:hAnsi="Franklin Gothic Book" w:cs="Franklin Gothic Book"/>
      <w:color w:val="auto"/>
    </w:rPr>
  </w:style>
  <w:style w:type="character" w:customStyle="1" w:styleId="BodyTextChar">
    <w:name w:val="Body Text Char"/>
    <w:basedOn w:val="DefaultParagraphFont"/>
    <w:link w:val="BodyText"/>
    <w:uiPriority w:val="1"/>
    <w:rsid w:val="002554C3"/>
    <w:rPr>
      <w:rFonts w:ascii="Franklin Gothic Book" w:eastAsiaTheme="minorEastAsia" w:hAnsi="Franklin Gothic Book" w:cs="Franklin Gothic Boo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63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hud.gov/sites/dfiles/PIH/documents/PIH2022-24.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ahfc\netlogon\templates\AHFC%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AHFC Report</Template>
  <TotalTime>2</TotalTime>
  <Pages>8</Pages>
  <Words>2503</Words>
  <Characters>13283</Characters>
  <Application>Microsoft Office Word</Application>
  <DocSecurity>8</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Torrens</dc:creator>
  <cp:keywords/>
  <dc:description/>
  <cp:lastModifiedBy>Korene Long</cp:lastModifiedBy>
  <cp:revision>3</cp:revision>
  <cp:lastPrinted>2023-05-01T23:04:00Z</cp:lastPrinted>
  <dcterms:created xsi:type="dcterms:W3CDTF">2026-03-11T23:40:00Z</dcterms:created>
  <dcterms:modified xsi:type="dcterms:W3CDTF">2026-03-11T23:41:00Z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bc395c0f-0b31-401e-ba0d-aaae28e9888a</vt:lpwstr>
  </property>
</Properties>
</file>